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67B5A" w14:textId="659CFD57" w:rsidR="004446EC" w:rsidRPr="00CE0424" w:rsidRDefault="004446EC" w:rsidP="004446EC">
      <w:pPr>
        <w:pStyle w:val="3GPPHeader"/>
        <w:spacing w:after="60"/>
        <w:rPr>
          <w:sz w:val="32"/>
          <w:szCs w:val="32"/>
          <w:highlight w:val="yellow"/>
        </w:rPr>
      </w:pPr>
      <w:r>
        <w:rPr>
          <w:lang w:val="en-US"/>
        </w:rPr>
        <w:t>3GPP TSG-RAN WG1 Meeting #90bis</w:t>
      </w:r>
      <w:r w:rsidRPr="00CE0424">
        <w:tab/>
      </w:r>
      <w:r w:rsidRPr="00CE0424">
        <w:rPr>
          <w:sz w:val="32"/>
          <w:szCs w:val="32"/>
        </w:rPr>
        <w:t>R</w:t>
      </w:r>
      <w:r>
        <w:rPr>
          <w:sz w:val="32"/>
          <w:szCs w:val="32"/>
        </w:rPr>
        <w:t>1</w:t>
      </w:r>
      <w:r w:rsidRPr="00CE0424">
        <w:rPr>
          <w:sz w:val="32"/>
          <w:szCs w:val="32"/>
        </w:rPr>
        <w:t>-</w:t>
      </w:r>
      <w:r w:rsidR="000E4BA1" w:rsidRPr="00CE0424">
        <w:rPr>
          <w:sz w:val="32"/>
          <w:szCs w:val="32"/>
        </w:rPr>
        <w:t>1</w:t>
      </w:r>
      <w:r w:rsidR="000E4BA1">
        <w:rPr>
          <w:sz w:val="32"/>
          <w:szCs w:val="32"/>
        </w:rPr>
        <w:t>717453</w:t>
      </w:r>
    </w:p>
    <w:p w14:paraId="4606F773" w14:textId="77777777" w:rsidR="004446EC" w:rsidRPr="00CE0424" w:rsidRDefault="004446EC" w:rsidP="004446EC">
      <w:pPr>
        <w:pStyle w:val="3GPPHeader"/>
      </w:pPr>
      <w:r>
        <w:t>Prague, Czech Republic,</w:t>
      </w:r>
      <w:r w:rsidRPr="000A1D33">
        <w:t xml:space="preserve"> </w:t>
      </w:r>
      <w:r>
        <w:t>9</w:t>
      </w:r>
      <w:r w:rsidRPr="00FC6F44">
        <w:rPr>
          <w:vertAlign w:val="superscript"/>
        </w:rPr>
        <w:t>th</w:t>
      </w:r>
      <w:r>
        <w:t xml:space="preserve"> – 13</w:t>
      </w:r>
      <w:r w:rsidRPr="002C5BA4">
        <w:rPr>
          <w:vertAlign w:val="superscript"/>
        </w:rPr>
        <w:t>th</w:t>
      </w:r>
      <w:r>
        <w:t xml:space="preserve"> October</w:t>
      </w:r>
      <w:r w:rsidRPr="000A1D33">
        <w:t xml:space="preserve"> 2017</w:t>
      </w:r>
    </w:p>
    <w:p w14:paraId="144FC2C2" w14:textId="77777777" w:rsidR="004446EC" w:rsidRPr="00CE0424" w:rsidRDefault="004446EC" w:rsidP="004446EC">
      <w:pPr>
        <w:pStyle w:val="3GPPHeader"/>
      </w:pPr>
    </w:p>
    <w:p w14:paraId="52EF46FF" w14:textId="52AFD31D" w:rsidR="004446EC" w:rsidRPr="0021608F" w:rsidRDefault="004446EC" w:rsidP="004446EC">
      <w:pPr>
        <w:pStyle w:val="3GPPHeader"/>
        <w:rPr>
          <w:sz w:val="22"/>
          <w:szCs w:val="22"/>
          <w:lang w:val="en-US"/>
        </w:rPr>
      </w:pPr>
      <w:r w:rsidRPr="0021608F">
        <w:rPr>
          <w:sz w:val="22"/>
          <w:szCs w:val="22"/>
          <w:lang w:val="en-US"/>
        </w:rPr>
        <w:t>Agenda Item:</w:t>
      </w:r>
      <w:r w:rsidRPr="0021608F">
        <w:rPr>
          <w:sz w:val="22"/>
          <w:szCs w:val="22"/>
          <w:lang w:val="en-US"/>
        </w:rPr>
        <w:tab/>
      </w:r>
      <w:r w:rsidR="000E4BA1" w:rsidRPr="0021608F">
        <w:rPr>
          <w:sz w:val="22"/>
          <w:szCs w:val="22"/>
          <w:lang w:val="en-US"/>
        </w:rPr>
        <w:t>6.2.9.3</w:t>
      </w:r>
    </w:p>
    <w:p w14:paraId="40837928" w14:textId="77777777" w:rsidR="004446EC" w:rsidRPr="00CE0424" w:rsidRDefault="004446EC" w:rsidP="004446EC">
      <w:pPr>
        <w:pStyle w:val="3GPPHeader"/>
        <w:rPr>
          <w:sz w:val="22"/>
          <w:szCs w:val="22"/>
        </w:rPr>
      </w:pPr>
      <w:r>
        <w:rPr>
          <w:sz w:val="22"/>
          <w:szCs w:val="22"/>
        </w:rPr>
        <w:t>Source:</w:t>
      </w:r>
      <w:r w:rsidRPr="00CE0424">
        <w:rPr>
          <w:sz w:val="22"/>
          <w:szCs w:val="22"/>
        </w:rPr>
        <w:tab/>
        <w:t>Ericsson</w:t>
      </w:r>
    </w:p>
    <w:p w14:paraId="0ECBC92D" w14:textId="3E42D794" w:rsidR="004446EC" w:rsidRPr="00CE0424" w:rsidRDefault="004446EC" w:rsidP="004446EC">
      <w:pPr>
        <w:pStyle w:val="3GPPHeader"/>
        <w:ind w:left="1701" w:hanging="1701"/>
        <w:rPr>
          <w:sz w:val="22"/>
          <w:szCs w:val="22"/>
        </w:rPr>
      </w:pPr>
      <w:r>
        <w:rPr>
          <w:sz w:val="22"/>
          <w:szCs w:val="22"/>
        </w:rPr>
        <w:t>Title:</w:t>
      </w:r>
      <w:r>
        <w:rPr>
          <w:sz w:val="22"/>
          <w:szCs w:val="22"/>
        </w:rPr>
        <w:tab/>
      </w:r>
      <w:r w:rsidR="000E4BA1" w:rsidRPr="000E4BA1">
        <w:rPr>
          <w:sz w:val="22"/>
          <w:szCs w:val="22"/>
        </w:rPr>
        <w:t>Techniques for reliability</w:t>
      </w:r>
    </w:p>
    <w:p w14:paraId="3AF18E6D" w14:textId="77777777" w:rsidR="004446EC" w:rsidRPr="00CE0424" w:rsidRDefault="004446EC" w:rsidP="004446EC">
      <w:pPr>
        <w:pStyle w:val="3GPPHeader"/>
        <w:rPr>
          <w:sz w:val="22"/>
          <w:szCs w:val="22"/>
        </w:rPr>
      </w:pPr>
      <w:r w:rsidRPr="00CE0424">
        <w:rPr>
          <w:sz w:val="22"/>
          <w:szCs w:val="22"/>
        </w:rPr>
        <w:t>Document for:</w:t>
      </w:r>
      <w:r w:rsidRPr="00CE0424">
        <w:rPr>
          <w:sz w:val="22"/>
          <w:szCs w:val="22"/>
        </w:rPr>
        <w:tab/>
      </w:r>
      <w:r w:rsidRPr="000A4D8A">
        <w:rPr>
          <w:sz w:val="22"/>
          <w:szCs w:val="22"/>
        </w:rPr>
        <w:t>Discussion</w:t>
      </w:r>
    </w:p>
    <w:p w14:paraId="248031E0" w14:textId="77777777" w:rsidR="00E90E49" w:rsidRPr="00CE0424" w:rsidRDefault="00E90E49" w:rsidP="00E90E49"/>
    <w:p w14:paraId="7C8E01BB" w14:textId="77777777" w:rsidR="00782FC6" w:rsidRDefault="00782FC6" w:rsidP="00782FC6">
      <w:pPr>
        <w:pStyle w:val="Heading1"/>
        <w:numPr>
          <w:ilvl w:val="0"/>
          <w:numId w:val="17"/>
        </w:numPr>
        <w:textAlignment w:val="auto"/>
      </w:pPr>
      <w:r>
        <w:t>Introduction</w:t>
      </w:r>
    </w:p>
    <w:p w14:paraId="6EE56D19" w14:textId="78807704" w:rsidR="00782FC6" w:rsidRDefault="000E4517" w:rsidP="000E4517">
      <w:bookmarkStart w:id="0" w:name="_Ref178064866"/>
      <w:r>
        <w:t xml:space="preserve">At RAN#75 a new Work Item on Ultra Reliable and Low Latency communication was approved </w:t>
      </w:r>
      <w:r>
        <w:fldChar w:fldCharType="begin"/>
      </w:r>
      <w:r>
        <w:instrText xml:space="preserve"> REF _Ref493499913 \r \h </w:instrText>
      </w:r>
      <w:r>
        <w:fldChar w:fldCharType="separate"/>
      </w:r>
      <w:r w:rsidR="005852CE">
        <w:t>[1]</w:t>
      </w:r>
      <w:r>
        <w:fldChar w:fldCharType="end"/>
      </w:r>
      <w:r>
        <w:t xml:space="preserve"> to enable </w:t>
      </w:r>
      <w:r w:rsidR="003731E7">
        <w:t>support of data with high reliability within a certain latency limitation.</w:t>
      </w:r>
    </w:p>
    <w:p w14:paraId="7297562F" w14:textId="5C9101AB" w:rsidR="00782FC6" w:rsidRDefault="00782FC6" w:rsidP="00782FC6">
      <w:r>
        <w:t>In this contribution</w:t>
      </w:r>
      <w:r w:rsidR="000E4517">
        <w:t>,</w:t>
      </w:r>
      <w:r>
        <w:t xml:space="preserve"> we discuss features that are needed for supporting high reliability</w:t>
      </w:r>
      <w:r w:rsidR="00DB6724">
        <w:t xml:space="preserve"> in LTE</w:t>
      </w:r>
      <w:r>
        <w:t>.</w:t>
      </w:r>
    </w:p>
    <w:p w14:paraId="32D23DE3" w14:textId="77777777" w:rsidR="00782FC6" w:rsidRDefault="00782FC6" w:rsidP="00782FC6">
      <w:pPr>
        <w:pStyle w:val="Heading1"/>
        <w:numPr>
          <w:ilvl w:val="0"/>
          <w:numId w:val="17"/>
        </w:numPr>
        <w:textAlignment w:val="auto"/>
      </w:pPr>
      <w:r>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69D0E32" w14:textId="07B250A8" w:rsidR="00782FC6" w:rsidRDefault="00782FC6" w:rsidP="00782FC6">
      <w:pPr>
        <w:rPr>
          <w:lang w:val="en-US"/>
        </w:rPr>
      </w:pPr>
      <w:r>
        <w:rPr>
          <w:lang w:val="en-US"/>
        </w:rPr>
        <w:t>In the following we discuss a list of enablers for high reliability data transmission.</w:t>
      </w:r>
      <w:r w:rsidR="003731E7">
        <w:rPr>
          <w:lang w:val="en-US"/>
        </w:rPr>
        <w:t xml:space="preserve"> We will consider both data and control channels and multiple transmissions.</w:t>
      </w:r>
      <w:r w:rsidR="00617B36">
        <w:rPr>
          <w:lang w:val="en-US"/>
        </w:rPr>
        <w:t xml:space="preserve"> For all channels and cases</w:t>
      </w:r>
      <w:r w:rsidR="00400985">
        <w:rPr>
          <w:lang w:val="en-US"/>
        </w:rPr>
        <w:t>,</w:t>
      </w:r>
      <w:r w:rsidR="00617B36">
        <w:rPr>
          <w:lang w:val="en-US"/>
        </w:rPr>
        <w:t xml:space="preserve"> we will consider both legacy TTI and short TTI, i.e. the discussion applies also to sPDCCH, sPDSCH, sPUSCH, and sPUCCH.</w:t>
      </w:r>
    </w:p>
    <w:p w14:paraId="2AC5722F" w14:textId="7D87F36C" w:rsidR="003731E7" w:rsidRDefault="003731E7" w:rsidP="003731E7">
      <w:pPr>
        <w:pStyle w:val="Heading2"/>
        <w:rPr>
          <w:lang w:val="en-US"/>
        </w:rPr>
      </w:pPr>
      <w:r>
        <w:rPr>
          <w:lang w:val="en-US"/>
        </w:rPr>
        <w:t>Required reliability</w:t>
      </w:r>
    </w:p>
    <w:p w14:paraId="53181D2F" w14:textId="058ADB8A" w:rsidR="00013A00" w:rsidRDefault="003731E7" w:rsidP="003731E7">
      <w:pPr>
        <w:rPr>
          <w:lang w:val="en-US"/>
        </w:rPr>
      </w:pPr>
      <w:r>
        <w:rPr>
          <w:lang w:val="en-US"/>
        </w:rPr>
        <w:t xml:space="preserve">The target is to deliver an UL or DL data packet with a total error rate at RAN level of E and a total RAN latency of L. Depending on L and the transmission properties, it can be possible to transmit multiple times. If the transmissions of a packet can be seen as independent, the requirement </w:t>
      </w:r>
      <w:r w:rsidR="000E1FAB">
        <w:rPr>
          <w:lang w:val="en-US"/>
        </w:rPr>
        <w:t xml:space="preserve">per transmission </w:t>
      </w:r>
      <w:r>
        <w:rPr>
          <w:lang w:val="en-US"/>
        </w:rPr>
        <w:t xml:space="preserve">will fall as a function of </w:t>
      </w:r>
      <w:r w:rsidR="00013A00">
        <w:rPr>
          <w:lang w:val="en-US"/>
        </w:rPr>
        <w:t xml:space="preserve">number of transmissions, i.e. in general as </w:t>
      </w:r>
      <m:oMath>
        <m:sSub>
          <m:sSubPr>
            <m:ctrlPr>
              <w:rPr>
                <w:rFonts w:ascii="Cambria Math" w:hAnsi="Cambria Math"/>
                <w:lang w:val="en-US"/>
              </w:rPr>
            </m:ctrlPr>
          </m:sSubPr>
          <m:e>
            <m:r>
              <m:rPr>
                <m:sty m:val="p"/>
              </m:rPr>
              <w:rPr>
                <w:rFonts w:ascii="Cambria Math" w:hAnsi="Cambria Math"/>
                <w:lang w:val="en-US"/>
              </w:rPr>
              <m:t>p</m:t>
            </m:r>
          </m:e>
          <m:sub>
            <m:r>
              <w:rPr>
                <w:rFonts w:ascii="Cambria Math" w:hAnsi="Cambria Math"/>
                <w:lang w:val="en-US"/>
              </w:rPr>
              <m:t>total</m:t>
            </m:r>
          </m:sub>
        </m:sSub>
        <m:r>
          <w:rPr>
            <w:rFonts w:ascii="Cambria Math" w:hAnsi="Cambria Math"/>
            <w:lang w:val="en-US"/>
          </w:rPr>
          <m:t>=1-</m:t>
        </m:r>
        <m:sSup>
          <m:sSupPr>
            <m:ctrlPr>
              <w:rPr>
                <w:rFonts w:ascii="Cambria Math" w:hAnsi="Cambria Math"/>
                <w:i/>
                <w:lang w:val="en-US"/>
              </w:rPr>
            </m:ctrlPr>
          </m:sSupPr>
          <m:e>
            <m:r>
              <w:rPr>
                <w:rFonts w:ascii="Cambria Math" w:hAnsi="Cambria Math"/>
                <w:lang w:val="en-US"/>
              </w:rPr>
              <m:t>(1-</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sub>
            </m:sSub>
            <m:r>
              <w:rPr>
                <w:rFonts w:ascii="Cambria Math" w:hAnsi="Cambria Math"/>
                <w:lang w:val="en-US"/>
              </w:rPr>
              <m:t>)</m:t>
            </m:r>
          </m:e>
          <m:sup>
            <m:r>
              <w:rPr>
                <w:rFonts w:ascii="Cambria Math" w:hAnsi="Cambria Math"/>
                <w:lang w:val="en-US"/>
              </w:rPr>
              <m:t>n</m:t>
            </m:r>
          </m:sup>
        </m:sSup>
      </m:oMath>
      <w:r w:rsidR="00013A00">
        <w:rPr>
          <w:lang w:val="en-US"/>
        </w:rPr>
        <w:t>, for n attempts of</w:t>
      </w:r>
      <w:r w:rsidR="000406C8">
        <w:rPr>
          <w:lang w:val="en-US"/>
        </w:rPr>
        <w:t xml:space="preserve"> </w:t>
      </w:r>
      <w:r w:rsidR="005852CE">
        <w:rPr>
          <w:lang w:val="en-US"/>
        </w:rPr>
        <w:t xml:space="preserve">success </w:t>
      </w:r>
      <w:r w:rsidR="00013A00">
        <w:rPr>
          <w:lang w:val="en-US"/>
        </w:rPr>
        <w:t xml:space="preserve">probability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sub>
        </m:sSub>
      </m:oMath>
      <w:r w:rsidR="00791C6E">
        <w:rPr>
          <w:lang w:val="en-US"/>
        </w:rPr>
        <w:t xml:space="preserve"> for a single transmission</w:t>
      </w:r>
      <w:r w:rsidR="00013A00">
        <w:rPr>
          <w:lang w:val="en-US"/>
        </w:rPr>
        <w:t>.</w:t>
      </w:r>
    </w:p>
    <w:p w14:paraId="598BB450" w14:textId="10AB74D7" w:rsidR="003731E7" w:rsidRDefault="003731E7" w:rsidP="003731E7">
      <w:pPr>
        <w:pStyle w:val="Heading3"/>
        <w:rPr>
          <w:lang w:val="en-US"/>
        </w:rPr>
      </w:pPr>
      <w:r>
        <w:rPr>
          <w:lang w:val="en-US"/>
        </w:rPr>
        <w:t>DL transmission</w:t>
      </w:r>
    </w:p>
    <w:p w14:paraId="74993F05" w14:textId="4714D1E7" w:rsidR="00A703D4" w:rsidRDefault="00013A00" w:rsidP="00013A00">
      <w:pPr>
        <w:rPr>
          <w:lang w:val="en-US"/>
        </w:rPr>
      </w:pPr>
      <w:r>
        <w:rPr>
          <w:lang w:val="en-US"/>
        </w:rPr>
        <w:t xml:space="preserve">If we only have one transmission within L, then we require that PDCCH and PDSCH is received. PUCCH is strictly not needed to deliver data to higher layers in the UE. </w:t>
      </w:r>
      <w:r w:rsidR="008E796E">
        <w:rPr>
          <w:lang w:val="en-US"/>
        </w:rPr>
        <w:t xml:space="preserve">To trigger a </w:t>
      </w:r>
      <w:r w:rsidR="002B4668">
        <w:rPr>
          <w:lang w:val="en-US"/>
        </w:rPr>
        <w:t>retransmission,</w:t>
      </w:r>
      <w:r w:rsidR="008E796E">
        <w:rPr>
          <w:lang w:val="en-US"/>
        </w:rPr>
        <w:t xml:space="preserve"> we require NACK to be received. </w:t>
      </w:r>
      <w:r w:rsidR="00CF0AE1">
        <w:rPr>
          <w:lang w:val="en-US"/>
        </w:rPr>
        <w:t xml:space="preserve">With </w:t>
      </w:r>
      <w:r w:rsidR="002B4668">
        <w:rPr>
          <w:lang w:val="en-US"/>
        </w:rPr>
        <w:t>retransmissions,</w:t>
      </w:r>
      <w:r w:rsidR="00CE5B57">
        <w:rPr>
          <w:lang w:val="en-US"/>
        </w:rPr>
        <w:t xml:space="preserve"> we can set a relaxed requirement</w:t>
      </w:r>
      <w:r w:rsidR="00CF0AE1">
        <w:rPr>
          <w:lang w:val="en-US"/>
        </w:rPr>
        <w:t xml:space="preserve">, however, the reliability of the HARQ feedback </w:t>
      </w:r>
      <w:r w:rsidR="00AA1880">
        <w:rPr>
          <w:lang w:val="en-US"/>
        </w:rPr>
        <w:t xml:space="preserve">(NACK received) </w:t>
      </w:r>
      <w:r w:rsidR="00CF0AE1">
        <w:rPr>
          <w:lang w:val="en-US"/>
        </w:rPr>
        <w:t>must be considered. The PUCCH/sPUCCH reliab</w:t>
      </w:r>
      <w:r w:rsidR="00AA1880">
        <w:rPr>
          <w:lang w:val="en-US"/>
        </w:rPr>
        <w:t>ility will in effect place a cap on how reliable a first transmission needs to be.</w:t>
      </w:r>
    </w:p>
    <w:p w14:paraId="084FF4F0" w14:textId="1ED98D22" w:rsidR="00E347A6" w:rsidRPr="00EC6586" w:rsidRDefault="00E347A6" w:rsidP="002D3821">
      <w:pPr>
        <w:pStyle w:val="Observation"/>
        <w:numPr>
          <w:ilvl w:val="0"/>
          <w:numId w:val="19"/>
        </w:numPr>
        <w:overflowPunct/>
        <w:autoSpaceDE/>
        <w:autoSpaceDN/>
        <w:adjustRightInd/>
        <w:spacing w:after="160" w:line="256" w:lineRule="auto"/>
        <w:ind w:left="1701" w:hanging="1701"/>
        <w:jc w:val="left"/>
        <w:textAlignment w:val="auto"/>
        <w:rPr>
          <w:lang w:val="en-US"/>
        </w:rPr>
      </w:pPr>
      <w:bookmarkStart w:id="68" w:name="_Toc493499900"/>
      <w:r w:rsidRPr="00E347A6">
        <w:rPr>
          <w:lang w:val="en-US"/>
        </w:rPr>
        <w:t xml:space="preserve">PUCCH/sPUCCH </w:t>
      </w:r>
      <w:r w:rsidR="00CF0AE1">
        <w:rPr>
          <w:lang w:val="en-US"/>
        </w:rPr>
        <w:t>reliability is critical</w:t>
      </w:r>
      <w:r w:rsidRPr="00E347A6">
        <w:rPr>
          <w:lang w:val="en-US"/>
        </w:rPr>
        <w:t xml:space="preserve"> for DL </w:t>
      </w:r>
      <w:r w:rsidR="00CF0AE1">
        <w:rPr>
          <w:lang w:val="en-US"/>
        </w:rPr>
        <w:t>re</w:t>
      </w:r>
      <w:r w:rsidRPr="00E347A6">
        <w:rPr>
          <w:lang w:val="en-US"/>
        </w:rPr>
        <w:t>transmission</w:t>
      </w:r>
      <w:r w:rsidR="00AA1880">
        <w:rPr>
          <w:lang w:val="en-US"/>
        </w:rPr>
        <w:t>s</w:t>
      </w:r>
      <w:r w:rsidRPr="00E347A6">
        <w:rPr>
          <w:lang w:val="en-US"/>
        </w:rPr>
        <w:t>.</w:t>
      </w:r>
      <w:bookmarkEnd w:id="68"/>
    </w:p>
    <w:p w14:paraId="450980F7" w14:textId="3CC60BAC" w:rsidR="003731E7" w:rsidRPr="003731E7" w:rsidRDefault="003731E7" w:rsidP="003731E7">
      <w:pPr>
        <w:pStyle w:val="Heading3"/>
        <w:rPr>
          <w:lang w:val="en-US"/>
        </w:rPr>
      </w:pPr>
      <w:bookmarkStart w:id="69" w:name="_Ref494189535"/>
      <w:r>
        <w:rPr>
          <w:lang w:val="en-US"/>
        </w:rPr>
        <w:t>UL transmission</w:t>
      </w:r>
      <w:bookmarkEnd w:id="69"/>
    </w:p>
    <w:p w14:paraId="737D27F3" w14:textId="0D06526D" w:rsidR="008E796E" w:rsidRDefault="008E796E" w:rsidP="002D3821">
      <w:pPr>
        <w:rPr>
          <w:lang w:val="en-US"/>
        </w:rPr>
      </w:pPr>
      <w:r>
        <w:rPr>
          <w:lang w:val="en-US"/>
        </w:rPr>
        <w:t>For UL</w:t>
      </w:r>
      <w:r w:rsidR="0033257C">
        <w:rPr>
          <w:lang w:val="en-US"/>
        </w:rPr>
        <w:t>,</w:t>
      </w:r>
      <w:r>
        <w:rPr>
          <w:lang w:val="en-US"/>
        </w:rPr>
        <w:t xml:space="preserve"> there are two main tracks: SR-based or SPS-based</w:t>
      </w:r>
      <w:r w:rsidR="0033257C">
        <w:rPr>
          <w:lang w:val="en-US"/>
        </w:rPr>
        <w:t xml:space="preserve"> scheduling</w:t>
      </w:r>
      <w:r>
        <w:rPr>
          <w:lang w:val="en-US"/>
        </w:rPr>
        <w:t>. The difference between them is that for SR we require the SR to be detected in order to initialize the scheduling.</w:t>
      </w:r>
    </w:p>
    <w:p w14:paraId="60EF780A" w14:textId="43C95222" w:rsidR="00A703D4" w:rsidRDefault="00594C96" w:rsidP="00782FC6">
      <w:pPr>
        <w:rPr>
          <w:lang w:val="en-US"/>
        </w:rPr>
      </w:pPr>
      <w:r>
        <w:rPr>
          <w:lang w:val="en-US"/>
        </w:rPr>
        <w:t xml:space="preserve">For the case of SPS-based scheduling we </w:t>
      </w:r>
      <w:r w:rsidR="00A703D4">
        <w:rPr>
          <w:lang w:val="en-US"/>
        </w:rPr>
        <w:t>don’t require SR, and we only require PDCCH for the retransmissions</w:t>
      </w:r>
      <w:r w:rsidR="00AA1880">
        <w:rPr>
          <w:lang w:val="en-US"/>
        </w:rPr>
        <w:t xml:space="preserve">. </w:t>
      </w:r>
      <w:r w:rsidR="007D4F4A">
        <w:rPr>
          <w:lang w:val="en-US"/>
        </w:rPr>
        <w:t xml:space="preserve">With SkipUplink the UE only transmits when it has UL data, giving good efficiency. </w:t>
      </w:r>
      <w:r w:rsidR="00AA1880">
        <w:rPr>
          <w:lang w:val="en-US"/>
        </w:rPr>
        <w:t xml:space="preserve">However, </w:t>
      </w:r>
      <w:r w:rsidR="00786BF5">
        <w:rPr>
          <w:lang w:val="en-US"/>
        </w:rPr>
        <w:t xml:space="preserve">since the UE state is unknown by the network </w:t>
      </w:r>
      <w:r w:rsidR="00AA1880">
        <w:rPr>
          <w:lang w:val="en-US"/>
        </w:rPr>
        <w:t xml:space="preserve">we need to reliably detect the first </w:t>
      </w:r>
      <w:r w:rsidR="007D4F4A">
        <w:rPr>
          <w:lang w:val="en-US"/>
        </w:rPr>
        <w:t xml:space="preserve">UL </w:t>
      </w:r>
      <w:r w:rsidR="00AA1880">
        <w:rPr>
          <w:lang w:val="en-US"/>
        </w:rPr>
        <w:t xml:space="preserve">transmission in the eNB. If the transmitting UE is not identified, </w:t>
      </w:r>
      <w:r w:rsidR="00F60506">
        <w:rPr>
          <w:lang w:val="en-US"/>
        </w:rPr>
        <w:t xml:space="preserve">the data can’t be delivered and </w:t>
      </w:r>
      <w:r w:rsidR="00AA1880">
        <w:rPr>
          <w:lang w:val="en-US"/>
        </w:rPr>
        <w:t>a retransmission is not triggered.</w:t>
      </w:r>
    </w:p>
    <w:p w14:paraId="0F3BF2A3" w14:textId="59D46AE6" w:rsidR="00A703D4" w:rsidRPr="002D3821" w:rsidRDefault="00A703D4" w:rsidP="00782FC6">
      <w:r>
        <w:rPr>
          <w:lang w:val="en-US"/>
        </w:rPr>
        <w:t xml:space="preserve">Therefore, </w:t>
      </w:r>
      <w:r w:rsidR="002D3821">
        <w:rPr>
          <w:lang w:val="en-US"/>
        </w:rPr>
        <w:t xml:space="preserve">improvements </w:t>
      </w:r>
      <w:r w:rsidR="0021608F">
        <w:rPr>
          <w:lang w:val="en-US"/>
        </w:rPr>
        <w:t>should be considered</w:t>
      </w:r>
      <w:r w:rsidR="002D3821">
        <w:rPr>
          <w:lang w:val="en-US"/>
        </w:rPr>
        <w:t xml:space="preserve"> for both SR and SPS-based transmission.</w:t>
      </w:r>
    </w:p>
    <w:p w14:paraId="27805A49" w14:textId="5D001D51" w:rsidR="00E347A6" w:rsidRPr="00EC6586" w:rsidRDefault="00A703D4" w:rsidP="002D3821">
      <w:pPr>
        <w:pStyle w:val="Observation"/>
        <w:numPr>
          <w:ilvl w:val="0"/>
          <w:numId w:val="19"/>
        </w:numPr>
        <w:overflowPunct/>
        <w:autoSpaceDE/>
        <w:autoSpaceDN/>
        <w:adjustRightInd/>
        <w:spacing w:after="160" w:line="256" w:lineRule="auto"/>
        <w:ind w:left="1701" w:hanging="1701"/>
        <w:jc w:val="left"/>
        <w:textAlignment w:val="auto"/>
        <w:rPr>
          <w:lang w:val="en-US"/>
        </w:rPr>
      </w:pPr>
      <w:bookmarkStart w:id="70" w:name="_Toc493499901"/>
      <w:r w:rsidRPr="00E347A6">
        <w:lastRenderedPageBreak/>
        <w:t xml:space="preserve">SPS-based </w:t>
      </w:r>
      <w:bookmarkEnd w:id="70"/>
      <w:r w:rsidR="002D3821">
        <w:t>and SR-based UL are both sensitive to dete</w:t>
      </w:r>
      <w:r w:rsidR="0021608F">
        <w:t>ction of</w:t>
      </w:r>
      <w:r w:rsidR="002D3821">
        <w:t xml:space="preserve"> </w:t>
      </w:r>
      <w:r w:rsidR="0021608F">
        <w:t>initial</w:t>
      </w:r>
      <w:r w:rsidR="002D3821">
        <w:t xml:space="preserve"> transmission.</w:t>
      </w:r>
    </w:p>
    <w:p w14:paraId="5003ED0E" w14:textId="77777777" w:rsidR="00782FC6" w:rsidRDefault="00782FC6" w:rsidP="00782FC6">
      <w:pPr>
        <w:pStyle w:val="Heading2"/>
        <w:numPr>
          <w:ilvl w:val="1"/>
          <w:numId w:val="17"/>
        </w:numPr>
        <w:textAlignment w:val="auto"/>
        <w:rPr>
          <w:lang w:val="en-US"/>
        </w:rPr>
      </w:pPr>
      <w:r>
        <w:rPr>
          <w:lang w:val="en-US"/>
        </w:rPr>
        <w:t>Transmitter and receiver antennas</w:t>
      </w:r>
    </w:p>
    <w:p w14:paraId="41AA22C7" w14:textId="6D583F1C" w:rsidR="00782FC6" w:rsidRDefault="00782FC6" w:rsidP="00782FC6">
      <w:pPr>
        <w:pStyle w:val="BodyText"/>
        <w:rPr>
          <w:lang w:val="en-US"/>
        </w:rPr>
      </w:pPr>
      <w:r>
        <w:rPr>
          <w:lang w:val="en-US"/>
        </w:rPr>
        <w:t xml:space="preserve">Higher reliability in data transmission can be achieved by additional diversity gain through using larger number of transmitter or receiver antennas. A UE </w:t>
      </w:r>
      <w:r w:rsidR="00EC6586">
        <w:rPr>
          <w:lang w:val="en-US"/>
        </w:rPr>
        <w:t xml:space="preserve">designed for extreme latency and reliability targets can be </w:t>
      </w:r>
      <w:r>
        <w:rPr>
          <w:lang w:val="en-US"/>
        </w:rPr>
        <w:t xml:space="preserve">expected to be </w:t>
      </w:r>
      <w:r w:rsidR="00EC6586">
        <w:rPr>
          <w:lang w:val="en-US"/>
        </w:rPr>
        <w:t>high-</w:t>
      </w:r>
      <w:r>
        <w:rPr>
          <w:lang w:val="en-US"/>
        </w:rPr>
        <w:t>end UE</w:t>
      </w:r>
      <w:r w:rsidR="00EC6586">
        <w:rPr>
          <w:lang w:val="en-US"/>
        </w:rPr>
        <w:t>, implying that it</w:t>
      </w:r>
      <w:r>
        <w:rPr>
          <w:lang w:val="en-US"/>
        </w:rPr>
        <w:t xml:space="preserve"> can support multiple transmitter or receiver antennas. A potential enhancement for suppor</w:t>
      </w:r>
      <w:r w:rsidR="0021608F">
        <w:rPr>
          <w:lang w:val="en-US"/>
        </w:rPr>
        <w:t xml:space="preserve">t of higher reliability is </w:t>
      </w:r>
      <w:r>
        <w:rPr>
          <w:lang w:val="en-US"/>
        </w:rPr>
        <w:t xml:space="preserve">4 transmitter antennas or 4 receiver antennas at the UE. </w:t>
      </w:r>
    </w:p>
    <w:p w14:paraId="57DD0B9B" w14:textId="47F8E134" w:rsidR="00782FC6" w:rsidRPr="001C4867" w:rsidRDefault="0021608F" w:rsidP="00782FC6">
      <w:pPr>
        <w:pStyle w:val="Proposal"/>
        <w:numPr>
          <w:ilvl w:val="0"/>
          <w:numId w:val="18"/>
        </w:numPr>
        <w:overflowPunct/>
        <w:autoSpaceDE/>
        <w:autoSpaceDN/>
        <w:adjustRightInd/>
        <w:spacing w:after="160" w:line="256" w:lineRule="auto"/>
        <w:jc w:val="left"/>
        <w:textAlignment w:val="auto"/>
        <w:rPr>
          <w:lang w:val="en-US"/>
        </w:rPr>
      </w:pPr>
      <w:bookmarkStart w:id="71" w:name="_Toc493499904"/>
      <w:r>
        <w:t xml:space="preserve">UE with </w:t>
      </w:r>
      <w:r w:rsidR="00782FC6">
        <w:t xml:space="preserve">4 TX antennas and 4 RX antennas can be considered </w:t>
      </w:r>
      <w:r w:rsidR="00A3117D">
        <w:t xml:space="preserve">baseline for a UE supporting low latency and </w:t>
      </w:r>
      <w:r w:rsidR="00782FC6">
        <w:t>high reliability</w:t>
      </w:r>
      <w:r w:rsidR="001C4867">
        <w:t>.</w:t>
      </w:r>
      <w:bookmarkEnd w:id="71"/>
    </w:p>
    <w:p w14:paraId="228AAF9A" w14:textId="078D9EBE" w:rsidR="003731E7" w:rsidRDefault="003731E7" w:rsidP="003731E7">
      <w:pPr>
        <w:pStyle w:val="Heading2"/>
      </w:pPr>
      <w:r>
        <w:t>DL control</w:t>
      </w:r>
    </w:p>
    <w:p w14:paraId="5F0F9725" w14:textId="34CB2253" w:rsidR="00617B36" w:rsidRDefault="00617B36" w:rsidP="00617B36">
      <w:r>
        <w:t>To support high reliability with PDCCH (sPDCCH), required both for UL and DL data transmission, the code rate should be low</w:t>
      </w:r>
      <w:r w:rsidR="00BF103A">
        <w:t xml:space="preserve"> enough to achieve the targeted reliability</w:t>
      </w:r>
      <w:r>
        <w:t xml:space="preserve">. </w:t>
      </w:r>
      <w:r w:rsidR="00BF103A">
        <w:t xml:space="preserve">If the current DCI sizes are not achieving low enough code rate, it </w:t>
      </w:r>
      <w:r>
        <w:t xml:space="preserve">can be </w:t>
      </w:r>
      <w:r w:rsidR="00BF103A">
        <w:t xml:space="preserve">lowered by </w:t>
      </w:r>
      <w:r>
        <w:t xml:space="preserve">two </w:t>
      </w:r>
      <w:r w:rsidR="00BF103A">
        <w:t>means</w:t>
      </w:r>
      <w:r>
        <w:t>: increasing the code length (aggregation level) and</w:t>
      </w:r>
      <w:r w:rsidR="00BF103A">
        <w:t>/or</w:t>
      </w:r>
      <w:r>
        <w:t xml:space="preserve"> reducing the payload (DCI size). These two enhancements should be considered for reliable </w:t>
      </w:r>
      <w:r w:rsidR="00BF3E08">
        <w:t>DL control</w:t>
      </w:r>
      <w:r>
        <w:t>.</w:t>
      </w:r>
    </w:p>
    <w:p w14:paraId="5BA8359D" w14:textId="7E992BFA" w:rsidR="00617B36" w:rsidRPr="001C4867" w:rsidRDefault="00617B36" w:rsidP="00617B36">
      <w:pPr>
        <w:pStyle w:val="Proposal"/>
        <w:numPr>
          <w:ilvl w:val="0"/>
          <w:numId w:val="18"/>
        </w:numPr>
        <w:overflowPunct/>
        <w:autoSpaceDE/>
        <w:autoSpaceDN/>
        <w:adjustRightInd/>
        <w:spacing w:after="160" w:line="256" w:lineRule="auto"/>
        <w:jc w:val="left"/>
        <w:textAlignment w:val="auto"/>
        <w:rPr>
          <w:lang w:val="en-US"/>
        </w:rPr>
      </w:pPr>
      <w:bookmarkStart w:id="72" w:name="_Toc493499905"/>
      <w:r>
        <w:t xml:space="preserve">Consider compact DCI size and higher aggregation levels for </w:t>
      </w:r>
      <w:r w:rsidR="00CE663B">
        <w:t>reliable DL control</w:t>
      </w:r>
      <w:r>
        <w:t>.</w:t>
      </w:r>
      <w:bookmarkEnd w:id="72"/>
    </w:p>
    <w:p w14:paraId="594DC9C7" w14:textId="59AB1AE1" w:rsidR="003731E7" w:rsidRDefault="003731E7" w:rsidP="003731E7">
      <w:pPr>
        <w:pStyle w:val="Heading2"/>
      </w:pPr>
      <w:r>
        <w:t>UL control</w:t>
      </w:r>
    </w:p>
    <w:p w14:paraId="14331F61" w14:textId="31A8FA7B" w:rsidR="00400777" w:rsidRDefault="00400777" w:rsidP="00400777">
      <w:r>
        <w:t xml:space="preserve">UCI is generally considered the weakest link in LTE, important and sensitive to the power limitation of the UE. </w:t>
      </w:r>
      <w:r w:rsidR="00E419BC">
        <w:t xml:space="preserve">Due to the power limitation, an increase in code length is not meaningful in most cases. </w:t>
      </w:r>
      <w:r>
        <w:t xml:space="preserve">To achieve the most reliable PUCCH solution RAN1 should </w:t>
      </w:r>
      <w:r w:rsidR="00E419BC">
        <w:t xml:space="preserve">instead </w:t>
      </w:r>
      <w:r>
        <w:t xml:space="preserve">consider </w:t>
      </w:r>
      <w:r w:rsidR="00E419BC">
        <w:t>low payload, repetition and frequency hopping as the baseline solution. In addition to this, transmit diversity techniques such as SORTD should be considered. For SR-based operation repetition of SR should be supported.</w:t>
      </w:r>
    </w:p>
    <w:p w14:paraId="666B18C7" w14:textId="7422EB00" w:rsidR="00E419BC" w:rsidRPr="00E419BC" w:rsidRDefault="00E419BC" w:rsidP="00400777">
      <w:pPr>
        <w:pStyle w:val="Proposal"/>
        <w:numPr>
          <w:ilvl w:val="0"/>
          <w:numId w:val="18"/>
        </w:numPr>
        <w:overflowPunct/>
        <w:autoSpaceDE/>
        <w:autoSpaceDN/>
        <w:adjustRightInd/>
        <w:spacing w:after="160" w:line="256" w:lineRule="auto"/>
        <w:jc w:val="left"/>
        <w:textAlignment w:val="auto"/>
        <w:rPr>
          <w:lang w:val="en-US"/>
        </w:rPr>
      </w:pPr>
      <w:bookmarkStart w:id="73" w:name="_Toc493499907"/>
      <w:r>
        <w:t>Low payload PUCCH with repetition and frequency hopping should be the baseline for reliability operation.</w:t>
      </w:r>
      <w:bookmarkEnd w:id="73"/>
    </w:p>
    <w:p w14:paraId="684E8F6B" w14:textId="672BCE98" w:rsidR="00E419BC" w:rsidRPr="00E419BC" w:rsidRDefault="00E419BC" w:rsidP="0021608F">
      <w:pPr>
        <w:pStyle w:val="Observation"/>
        <w:rPr>
          <w:lang w:val="en-US"/>
        </w:rPr>
      </w:pPr>
      <w:bookmarkStart w:id="74" w:name="_Toc493499908"/>
      <w:r>
        <w:t xml:space="preserve">Transmit diversity for PUCCH </w:t>
      </w:r>
      <w:r w:rsidR="00EB0E14">
        <w:t>can be used to improve reliability</w:t>
      </w:r>
      <w:r>
        <w:t>.</w:t>
      </w:r>
      <w:bookmarkEnd w:id="74"/>
    </w:p>
    <w:p w14:paraId="7A9E43C6" w14:textId="16A196E8" w:rsidR="00E419BC" w:rsidRPr="00E419BC" w:rsidRDefault="00E419BC" w:rsidP="00400777">
      <w:pPr>
        <w:pStyle w:val="Proposal"/>
        <w:numPr>
          <w:ilvl w:val="0"/>
          <w:numId w:val="18"/>
        </w:numPr>
        <w:overflowPunct/>
        <w:autoSpaceDE/>
        <w:autoSpaceDN/>
        <w:adjustRightInd/>
        <w:spacing w:after="160" w:line="256" w:lineRule="auto"/>
        <w:jc w:val="left"/>
        <w:textAlignment w:val="auto"/>
        <w:rPr>
          <w:lang w:val="en-US"/>
        </w:rPr>
      </w:pPr>
      <w:bookmarkStart w:id="75" w:name="_Toc493499909"/>
      <w:r>
        <w:t xml:space="preserve">SR repetition should be </w:t>
      </w:r>
      <w:r w:rsidR="00CB7981">
        <w:t>considered</w:t>
      </w:r>
      <w:r>
        <w:t>.</w:t>
      </w:r>
      <w:bookmarkEnd w:id="75"/>
    </w:p>
    <w:p w14:paraId="56132D12" w14:textId="77777777" w:rsidR="00782FC6" w:rsidRDefault="00782FC6" w:rsidP="00782FC6">
      <w:pPr>
        <w:pStyle w:val="Heading2"/>
        <w:numPr>
          <w:ilvl w:val="1"/>
          <w:numId w:val="17"/>
        </w:numPr>
        <w:textAlignment w:val="auto"/>
        <w:rPr>
          <w:rFonts w:eastAsiaTheme="minorHAnsi"/>
          <w:lang w:val="en-US"/>
        </w:rPr>
      </w:pPr>
      <w:r>
        <w:rPr>
          <w:rFonts w:eastAsiaTheme="minorHAnsi"/>
          <w:lang w:val="en-US"/>
        </w:rPr>
        <w:t>Configuration of code rates to support higher reliability</w:t>
      </w:r>
    </w:p>
    <w:p w14:paraId="241B4668" w14:textId="5B240A7D" w:rsidR="00782FC6" w:rsidRDefault="00C66341" w:rsidP="00C66341">
      <w:r>
        <w:t xml:space="preserve">In the sTTI&amp;PT WI a modification of the TBS is discussed, where the TBS value from the legacy table is scaled according to TTI length with a configured factor </w:t>
      </w:r>
      <m:oMath>
        <m:r>
          <w:rPr>
            <w:rFonts w:ascii="Cambria Math" w:hAnsi="Cambria Math"/>
          </w:rPr>
          <m:t>α</m:t>
        </m:r>
        <m:d>
          <m:dPr>
            <m:ctrlPr>
              <w:rPr>
                <w:rFonts w:ascii="Cambria Math" w:hAnsi="Cambria Math"/>
                <w:i/>
              </w:rPr>
            </m:ctrlPr>
          </m:dPr>
          <m:e>
            <m:r>
              <w:rPr>
                <w:rFonts w:ascii="Cambria Math" w:hAnsi="Cambria Math"/>
              </w:rPr>
              <m:t>TTI, direction</m:t>
            </m:r>
          </m:e>
        </m:d>
        <m:r>
          <w:rPr>
            <w:rFonts w:ascii="Cambria Math" w:hAnsi="Cambria Math"/>
          </w:rPr>
          <m:t>&lt;1</m:t>
        </m:r>
      </m:oMath>
      <w:r w:rsidR="00782FC6">
        <w:t xml:space="preserve"> </w:t>
      </w:r>
      <w:r>
        <w:t>such that</w:t>
      </w:r>
    </w:p>
    <w:p w14:paraId="5932FD32" w14:textId="5EB3813E" w:rsidR="00C66341" w:rsidRDefault="00213045" w:rsidP="00C66341">
      <w:pPr>
        <w:rPr>
          <w:rFonts w:cs="Arial"/>
        </w:rPr>
      </w:pPr>
      <m:oMathPara>
        <m:oMath>
          <m:sSub>
            <m:sSubPr>
              <m:ctrlPr>
                <w:rPr>
                  <w:rFonts w:ascii="Cambria Math" w:hAnsi="Cambria Math" w:cs="Arial"/>
                  <w:i/>
                </w:rPr>
              </m:ctrlPr>
            </m:sSubPr>
            <m:e>
              <m:r>
                <w:rPr>
                  <w:rFonts w:ascii="Cambria Math" w:hAnsi="Cambria Math" w:cs="Arial"/>
                </w:rPr>
                <m:t>TBS</m:t>
              </m:r>
            </m:e>
            <m:sub>
              <m:r>
                <w:rPr>
                  <w:rFonts w:ascii="Cambria Math" w:hAnsi="Cambria Math" w:cs="Arial"/>
                </w:rPr>
                <m:t>TTI</m:t>
              </m:r>
            </m:sub>
          </m:sSub>
          <m:r>
            <w:rPr>
              <w:rFonts w:ascii="Cambria Math" w:hAnsi="Cambria Math" w:cs="Arial"/>
            </w:rPr>
            <m:t>=TBS(#PRB,MCS)</m:t>
          </m:r>
          <m:r>
            <w:rPr>
              <w:rFonts w:ascii="Cambria Math" w:hAnsi="Cambria Math"/>
            </w:rPr>
            <m:t xml:space="preserve"> α(TTI, direction)</m:t>
          </m:r>
        </m:oMath>
      </m:oMathPara>
      <w:bookmarkStart w:id="76" w:name="_Toc493499910"/>
    </w:p>
    <w:p w14:paraId="304B3D03" w14:textId="2A35223F" w:rsidR="00C66341" w:rsidRDefault="00C66341" w:rsidP="00C66341">
      <w:pPr>
        <w:rPr>
          <w:rFonts w:cs="Arial"/>
        </w:rPr>
      </w:pPr>
      <w:r>
        <w:rPr>
          <w:rFonts w:cs="Arial"/>
        </w:rPr>
        <w:t>which can then be adjusted to byte size and corrected for CRC. The sTTI solution is therefore to reuse the existing MCS set and scale the table.</w:t>
      </w:r>
    </w:p>
    <w:p w14:paraId="591C496D" w14:textId="601F96E7" w:rsidR="00C66341" w:rsidRDefault="00C66341" w:rsidP="00C66341">
      <w:pPr>
        <w:rPr>
          <w:rFonts w:cs="Arial"/>
        </w:rPr>
      </w:pPr>
      <w:r>
        <w:rPr>
          <w:rFonts w:cs="Arial"/>
        </w:rPr>
        <w:t xml:space="preserve">For URLLC operation, the legacy set of MCS may not be sufficient. Instead of extending or modifying the MCS set, it is possible to define an additional factor </w:t>
      </w:r>
      <m:oMath>
        <m:r>
          <w:rPr>
            <w:rFonts w:ascii="Cambria Math" w:hAnsi="Cambria Math" w:cs="Arial"/>
          </w:rPr>
          <m:t>β</m:t>
        </m:r>
        <m:r>
          <w:rPr>
            <w:rFonts w:ascii="Cambria Math" w:hAnsi="Cambria Math"/>
          </w:rPr>
          <m:t>(service)</m:t>
        </m:r>
      </m:oMath>
      <w:r>
        <w:t>&lt;1</w:t>
      </w:r>
      <w:r>
        <w:rPr>
          <w:rFonts w:cs="Arial"/>
        </w:rPr>
        <w:t xml:space="preserve"> such that</w:t>
      </w:r>
    </w:p>
    <w:p w14:paraId="67ECFA13" w14:textId="489E457B" w:rsidR="00C66341" w:rsidRDefault="00213045" w:rsidP="00C66341">
      <w:pPr>
        <w:rPr>
          <w:rFonts w:cs="Arial"/>
        </w:rPr>
      </w:pPr>
      <m:oMathPara>
        <m:oMath>
          <m:sSub>
            <m:sSubPr>
              <m:ctrlPr>
                <w:rPr>
                  <w:rFonts w:ascii="Cambria Math" w:hAnsi="Cambria Math" w:cs="Arial"/>
                  <w:i/>
                </w:rPr>
              </m:ctrlPr>
            </m:sSubPr>
            <m:e>
              <m:r>
                <w:rPr>
                  <w:rFonts w:ascii="Cambria Math" w:hAnsi="Cambria Math" w:cs="Arial"/>
                </w:rPr>
                <m:t>TBS</m:t>
              </m:r>
            </m:e>
            <m:sub>
              <m:r>
                <w:rPr>
                  <w:rFonts w:ascii="Cambria Math" w:hAnsi="Cambria Math" w:cs="Arial"/>
                </w:rPr>
                <m:t>TTI,service</m:t>
              </m:r>
            </m:sub>
          </m:sSub>
          <m:r>
            <w:rPr>
              <w:rFonts w:ascii="Cambria Math" w:hAnsi="Cambria Math" w:cs="Arial"/>
            </w:rPr>
            <m:t>=TBS(#PRB,MCS)</m:t>
          </m:r>
          <m:r>
            <w:rPr>
              <w:rFonts w:ascii="Cambria Math" w:hAnsi="Cambria Math"/>
            </w:rPr>
            <m:t xml:space="preserve"> α(TTI, direction)</m:t>
          </m:r>
          <m:r>
            <w:rPr>
              <w:rFonts w:ascii="Cambria Math" w:hAnsi="Cambria Math" w:cs="Arial"/>
            </w:rPr>
            <m:t>β</m:t>
          </m:r>
          <m:r>
            <w:rPr>
              <w:rFonts w:ascii="Cambria Math" w:hAnsi="Cambria Math"/>
            </w:rPr>
            <m:t>(service)</m:t>
          </m:r>
        </m:oMath>
      </m:oMathPara>
    </w:p>
    <w:p w14:paraId="0A301AC0" w14:textId="73AD9373" w:rsidR="00C66341" w:rsidRPr="00C66341" w:rsidRDefault="00461299" w:rsidP="00C66341">
      <w:pPr>
        <w:rPr>
          <w:rFonts w:cs="Arial"/>
        </w:rPr>
      </w:pPr>
      <w:r>
        <w:rPr>
          <w:rFonts w:cs="Arial"/>
        </w:rPr>
        <w:t>s</w:t>
      </w:r>
      <w:r w:rsidR="00C66341">
        <w:rPr>
          <w:rFonts w:cs="Arial"/>
        </w:rPr>
        <w:t xml:space="preserve">caled for the </w:t>
      </w:r>
      <w:r w:rsidR="00AB73AF">
        <w:rPr>
          <w:rFonts w:cs="Arial"/>
        </w:rPr>
        <w:t xml:space="preserve">configured </w:t>
      </w:r>
      <w:r w:rsidR="00C66341">
        <w:rPr>
          <w:rFonts w:cs="Arial"/>
        </w:rPr>
        <w:t>service such that the</w:t>
      </w:r>
      <w:r>
        <w:rPr>
          <w:rFonts w:cs="Arial"/>
        </w:rPr>
        <w:t xml:space="preserve"> code rate corresponding to a MCS is reduced.</w:t>
      </w:r>
      <w:r w:rsidR="00481545">
        <w:rPr>
          <w:rFonts w:cs="Arial"/>
        </w:rPr>
        <w:t xml:space="preserve"> The factor </w:t>
      </w:r>
      <m:oMath>
        <m:r>
          <w:rPr>
            <w:rFonts w:ascii="Cambria Math" w:hAnsi="Cambria Math" w:cs="Arial"/>
          </w:rPr>
          <m:t>β</m:t>
        </m:r>
      </m:oMath>
      <w:r w:rsidR="00481545">
        <w:rPr>
          <w:rFonts w:cs="Arial"/>
        </w:rPr>
        <w:t xml:space="preserve"> can be configured for the service, </w:t>
      </w:r>
      <w:r w:rsidR="00AB73AF">
        <w:rPr>
          <w:rFonts w:cs="Arial"/>
        </w:rPr>
        <w:t xml:space="preserve">e.g. when using URLLC operation, </w:t>
      </w:r>
      <w:r w:rsidR="00481545">
        <w:rPr>
          <w:rFonts w:cs="Arial"/>
        </w:rPr>
        <w:t>and either always applied when a certain DCI is used, or applied when indicated in the DCI.</w:t>
      </w:r>
    </w:p>
    <w:p w14:paraId="4568D694" w14:textId="4988BFAB" w:rsidR="00782FC6" w:rsidRDefault="00782FC6" w:rsidP="00782FC6">
      <w:pPr>
        <w:pStyle w:val="Proposal"/>
        <w:numPr>
          <w:ilvl w:val="0"/>
          <w:numId w:val="18"/>
        </w:numPr>
        <w:overflowPunct/>
        <w:autoSpaceDE/>
        <w:autoSpaceDN/>
        <w:adjustRightInd/>
        <w:spacing w:after="160" w:line="256" w:lineRule="auto"/>
        <w:jc w:val="left"/>
        <w:textAlignment w:val="auto"/>
        <w:rPr>
          <w:rFonts w:cstheme="minorBidi"/>
        </w:rPr>
      </w:pPr>
      <w:r>
        <w:rPr>
          <w:rFonts w:cs="Arial"/>
          <w:iCs/>
          <w:lang w:val="en-US"/>
        </w:rPr>
        <w:t>A</w:t>
      </w:r>
      <w:bookmarkEnd w:id="76"/>
      <w:r w:rsidR="00481545">
        <w:rPr>
          <w:rFonts w:cs="Arial"/>
          <w:iCs/>
          <w:lang w:val="en-US"/>
        </w:rPr>
        <w:t xml:space="preserve"> TBS scaling factor should be configurable for URLLC services.</w:t>
      </w:r>
    </w:p>
    <w:p w14:paraId="61FCBA97" w14:textId="77777777" w:rsidR="00782FC6" w:rsidRDefault="00782FC6" w:rsidP="00782FC6"/>
    <w:p w14:paraId="1EACEDAE" w14:textId="77777777" w:rsidR="00782FC6" w:rsidRDefault="00782FC6" w:rsidP="00782FC6">
      <w:pPr>
        <w:pStyle w:val="Heading2"/>
        <w:numPr>
          <w:ilvl w:val="1"/>
          <w:numId w:val="17"/>
        </w:numPr>
        <w:textAlignment w:val="auto"/>
        <w:rPr>
          <w:rFonts w:eastAsiaTheme="minorEastAsia"/>
          <w:lang w:eastAsia="en-US"/>
        </w:rPr>
      </w:pPr>
      <w:r>
        <w:rPr>
          <w:rFonts w:eastAsiaTheme="minorEastAsia"/>
          <w:lang w:eastAsia="en-US"/>
        </w:rPr>
        <w:lastRenderedPageBreak/>
        <w:t>Repetition with K-factor</w:t>
      </w:r>
    </w:p>
    <w:p w14:paraId="6B26EC6C" w14:textId="673F8976" w:rsidR="00782FC6" w:rsidRDefault="00DE231B" w:rsidP="00782FC6">
      <w:pPr>
        <w:rPr>
          <w:rFonts w:eastAsiaTheme="minorEastAsia"/>
        </w:rPr>
      </w:pPr>
      <w:r>
        <w:rPr>
          <w:rFonts w:eastAsiaTheme="minorEastAsia"/>
        </w:rPr>
        <w:t>In NR</w:t>
      </w:r>
      <w:r w:rsidR="006C0692">
        <w:rPr>
          <w:rFonts w:eastAsiaTheme="minorEastAsia"/>
        </w:rPr>
        <w:t>,</w:t>
      </w:r>
      <w:r>
        <w:rPr>
          <w:rFonts w:eastAsiaTheme="minorEastAsia"/>
        </w:rPr>
        <w:t xml:space="preserve"> i</w:t>
      </w:r>
      <w:r w:rsidR="00782FC6">
        <w:rPr>
          <w:rFonts w:eastAsiaTheme="minorEastAsia"/>
        </w:rPr>
        <w:t>t has been agreed that “f</w:t>
      </w:r>
      <w:r w:rsidR="00782FC6">
        <w:rPr>
          <w:bCs/>
          <w:lang w:eastAsia="ja-JP"/>
        </w:rPr>
        <w:t>or an UL transmission scheme with/without grant, K repetitions including initial transmission (with the same or different RV and FFS with different MCS) (K&gt;=1) for the same transport block are supported”.</w:t>
      </w:r>
      <w:r w:rsidR="00782FC6">
        <w:rPr>
          <w:rFonts w:eastAsiaTheme="minorEastAsia"/>
        </w:rPr>
        <w:t xml:space="preserve"> Multiple transmission attempts allowing for high reliability can then be achieved in a shorter time compared to feedback-triggered retransmission.</w:t>
      </w:r>
      <w:bookmarkStart w:id="77" w:name="_Hlk485375947"/>
      <w:r>
        <w:rPr>
          <w:rFonts w:eastAsiaTheme="minorEastAsia"/>
        </w:rPr>
        <w:t xml:space="preserve"> In addition to this significant reduction of latency, the feedback channel is not required to trigger the retransmission. </w:t>
      </w:r>
    </w:p>
    <w:p w14:paraId="5D041165" w14:textId="37DF267A" w:rsidR="00E347A6" w:rsidRDefault="00E347A6" w:rsidP="00E347A6">
      <w:pPr>
        <w:pStyle w:val="Heading3"/>
        <w:rPr>
          <w:rFonts w:eastAsiaTheme="minorEastAsia"/>
          <w:lang w:eastAsia="en-US"/>
        </w:rPr>
      </w:pPr>
      <w:r>
        <w:rPr>
          <w:rFonts w:eastAsiaTheme="minorEastAsia"/>
          <w:lang w:eastAsia="en-US"/>
        </w:rPr>
        <w:t>DL HARQ-less retransmission</w:t>
      </w:r>
    </w:p>
    <w:p w14:paraId="06D3DF87" w14:textId="37FE6A77" w:rsidR="00E347A6" w:rsidRPr="00E347A6" w:rsidRDefault="00E347A6" w:rsidP="00E347A6">
      <w:pPr>
        <w:rPr>
          <w:rFonts w:eastAsiaTheme="minorEastAsia"/>
          <w:lang w:eastAsia="en-US"/>
        </w:rPr>
      </w:pPr>
      <w:r>
        <w:rPr>
          <w:rFonts w:eastAsiaTheme="minorEastAsia"/>
          <w:lang w:eastAsia="en-US"/>
        </w:rPr>
        <w:t>In the DL</w:t>
      </w:r>
      <w:r w:rsidR="006C0692">
        <w:rPr>
          <w:rFonts w:eastAsiaTheme="minorEastAsia"/>
          <w:lang w:eastAsia="en-US"/>
        </w:rPr>
        <w:t>,</w:t>
      </w:r>
      <w:r>
        <w:rPr>
          <w:rFonts w:eastAsiaTheme="minorEastAsia"/>
          <w:lang w:eastAsia="en-US"/>
        </w:rPr>
        <w:t xml:space="preserve"> this mode of operation is simply supported by the eNB scheduling “back-to-back” transmissions of the same HARQ PID without toggling NDI. Different </w:t>
      </w:r>
      <w:r w:rsidR="00C07BB2">
        <w:rPr>
          <w:rFonts w:eastAsiaTheme="minorEastAsia"/>
          <w:lang w:eastAsia="en-US"/>
        </w:rPr>
        <w:t xml:space="preserve">or same </w:t>
      </w:r>
      <w:r>
        <w:rPr>
          <w:rFonts w:eastAsiaTheme="minorEastAsia"/>
          <w:lang w:eastAsia="en-US"/>
        </w:rPr>
        <w:t>RVs can be used</w:t>
      </w:r>
      <w:r w:rsidR="00C07BB2">
        <w:rPr>
          <w:rFonts w:eastAsiaTheme="minorEastAsia"/>
          <w:lang w:eastAsia="en-US"/>
        </w:rPr>
        <w:t>, as indicated in DCI</w:t>
      </w:r>
      <w:r>
        <w:rPr>
          <w:rFonts w:eastAsiaTheme="minorEastAsia"/>
          <w:lang w:eastAsia="en-US"/>
        </w:rPr>
        <w:t xml:space="preserve">. </w:t>
      </w:r>
      <w:r>
        <w:rPr>
          <w:rFonts w:eastAsiaTheme="minorEastAsia"/>
        </w:rPr>
        <w:t xml:space="preserve">Therefore, this mode of operation can be referred to as “HARQ-less” retransmission. </w:t>
      </w:r>
      <w:r>
        <w:rPr>
          <w:rFonts w:eastAsiaTheme="minorEastAsia"/>
          <w:lang w:eastAsia="en-US"/>
        </w:rPr>
        <w:t>The UE will then receive and combine the data accordingly, and each copy will trigger PUCCH feedback.</w:t>
      </w:r>
    </w:p>
    <w:p w14:paraId="4F48DEA0" w14:textId="17625565" w:rsidR="00782FC6" w:rsidRPr="00AB73AF" w:rsidRDefault="00E347A6" w:rsidP="00782FC6">
      <w:pPr>
        <w:pStyle w:val="Observation"/>
        <w:numPr>
          <w:ilvl w:val="0"/>
          <w:numId w:val="19"/>
        </w:numPr>
        <w:overflowPunct/>
        <w:autoSpaceDE/>
        <w:autoSpaceDN/>
        <w:adjustRightInd/>
        <w:spacing w:after="160" w:line="256" w:lineRule="auto"/>
        <w:ind w:left="1701" w:hanging="1701"/>
        <w:jc w:val="left"/>
        <w:textAlignment w:val="auto"/>
        <w:rPr>
          <w:rFonts w:eastAsiaTheme="minorHAnsi"/>
          <w:sz w:val="16"/>
          <w:szCs w:val="16"/>
        </w:rPr>
      </w:pPr>
      <w:bookmarkStart w:id="78" w:name="_Toc493499902"/>
      <w:bookmarkEnd w:id="77"/>
      <w:r>
        <w:rPr>
          <w:rFonts w:eastAsiaTheme="minorEastAsia"/>
        </w:rPr>
        <w:t>DL HARQ-less retransmission is supported already.</w:t>
      </w:r>
      <w:bookmarkEnd w:id="78"/>
    </w:p>
    <w:p w14:paraId="3272BED0" w14:textId="28FD7545" w:rsidR="00AB73AF" w:rsidRPr="00AB73AF" w:rsidRDefault="00AB73AF" w:rsidP="00AB73AF">
      <w:pPr>
        <w:pStyle w:val="BodyText"/>
        <w:rPr>
          <w:rStyle w:val="CommentReference"/>
          <w:rFonts w:eastAsiaTheme="minorHAnsi"/>
          <w:sz w:val="20"/>
        </w:rPr>
      </w:pPr>
      <w:r>
        <w:rPr>
          <w:rStyle w:val="CommentReference"/>
          <w:rFonts w:eastAsiaTheme="minorHAnsi"/>
          <w:sz w:val="20"/>
        </w:rPr>
        <w:t xml:space="preserve">Starting from this basic operation mode, improvements such as configuration of repetition </w:t>
      </w:r>
      <w:r w:rsidR="0038314D">
        <w:rPr>
          <w:rStyle w:val="CommentReference"/>
          <w:rFonts w:eastAsiaTheme="minorHAnsi"/>
          <w:sz w:val="20"/>
        </w:rPr>
        <w:t>K-</w:t>
      </w:r>
      <w:r>
        <w:rPr>
          <w:rStyle w:val="CommentReference"/>
          <w:rFonts w:eastAsiaTheme="minorHAnsi"/>
          <w:sz w:val="20"/>
        </w:rPr>
        <w:t>factor can be done.</w:t>
      </w:r>
    </w:p>
    <w:p w14:paraId="1B6E5C83" w14:textId="28860CFF" w:rsidR="00782FC6" w:rsidRDefault="00E347A6" w:rsidP="00E347A6">
      <w:pPr>
        <w:pStyle w:val="Heading3"/>
        <w:rPr>
          <w:rFonts w:eastAsiaTheme="minorEastAsia"/>
          <w:lang w:val="en-US"/>
        </w:rPr>
      </w:pPr>
      <w:r>
        <w:rPr>
          <w:rFonts w:eastAsiaTheme="minorEastAsia"/>
          <w:lang w:val="en-US"/>
        </w:rPr>
        <w:t>UL repetition</w:t>
      </w:r>
    </w:p>
    <w:p w14:paraId="39E13BB4" w14:textId="40AB3532" w:rsidR="006414DB" w:rsidRDefault="006414DB" w:rsidP="006414DB">
      <w:pPr>
        <w:rPr>
          <w:rFonts w:eastAsiaTheme="minorEastAsia"/>
          <w:lang w:val="en-US"/>
        </w:rPr>
      </w:pPr>
      <w:r w:rsidRPr="008F687C">
        <w:rPr>
          <w:rFonts w:eastAsiaTheme="minorEastAsia"/>
          <w:lang w:val="en-US"/>
        </w:rPr>
        <w:t xml:space="preserve">In LTE, transport block repetition is already supported by TTI bundling. UE sends </w:t>
      </w:r>
      <w:r w:rsidR="00BB22AB">
        <w:rPr>
          <w:rFonts w:eastAsiaTheme="minorEastAsia"/>
          <w:lang w:val="en-US"/>
        </w:rPr>
        <w:t xml:space="preserve">always </w:t>
      </w:r>
      <w:r w:rsidRPr="008F687C">
        <w:rPr>
          <w:rFonts w:eastAsiaTheme="minorEastAsia"/>
          <w:lang w:val="en-US"/>
        </w:rPr>
        <w:t>four copies of one transport block with a fixed RV pattern. Each additional copy is treated as one non-adaptive retransmission</w:t>
      </w:r>
      <w:r w:rsidR="00C41B56">
        <w:rPr>
          <w:rFonts w:eastAsiaTheme="minorEastAsia"/>
          <w:lang w:val="en-US"/>
        </w:rPr>
        <w:t xml:space="preserve">, and thus it can be </w:t>
      </w:r>
      <w:r w:rsidR="00844D77">
        <w:rPr>
          <w:rFonts w:eastAsiaTheme="minorEastAsia"/>
          <w:lang w:val="en-US"/>
        </w:rPr>
        <w:t xml:space="preserve">configured for both dynamic scheduling and SPS. </w:t>
      </w:r>
      <w:r w:rsidR="008E7C06">
        <w:rPr>
          <w:rFonts w:eastAsiaTheme="minorEastAsia"/>
          <w:lang w:val="en-US"/>
        </w:rPr>
        <w:t xml:space="preserve"> The initial motivation for TTI bundling is to improve uplink coverage, and a couple of changes based on TTI bundling may be needed, for example, on the repetition number K and RV pattern. </w:t>
      </w:r>
      <w:r w:rsidR="003B75FD">
        <w:rPr>
          <w:rFonts w:eastAsiaTheme="minorEastAsia"/>
          <w:lang w:val="en-US"/>
        </w:rPr>
        <w:t>This should extend naturally to sTTI.</w:t>
      </w:r>
    </w:p>
    <w:p w14:paraId="40D2FE55" w14:textId="2CFEE3EB" w:rsidR="003B75FD" w:rsidRPr="00CE663B" w:rsidRDefault="00CE663B" w:rsidP="006414DB">
      <w:pPr>
        <w:pStyle w:val="Proposal"/>
        <w:numPr>
          <w:ilvl w:val="0"/>
          <w:numId w:val="18"/>
        </w:numPr>
        <w:overflowPunct/>
        <w:autoSpaceDE/>
        <w:autoSpaceDN/>
        <w:adjustRightInd/>
        <w:spacing w:after="160" w:line="256" w:lineRule="auto"/>
        <w:jc w:val="left"/>
        <w:textAlignment w:val="auto"/>
        <w:rPr>
          <w:sz w:val="22"/>
          <w:szCs w:val="22"/>
        </w:rPr>
      </w:pPr>
      <w:r>
        <w:t>s</w:t>
      </w:r>
      <w:r w:rsidR="003B75FD">
        <w:t>TT</w:t>
      </w:r>
      <w:r w:rsidR="0038314D">
        <w:t xml:space="preserve">I </w:t>
      </w:r>
      <w:r>
        <w:t xml:space="preserve">bundling </w:t>
      </w:r>
      <w:r w:rsidR="003B75FD">
        <w:t>is supported.</w:t>
      </w:r>
    </w:p>
    <w:p w14:paraId="5DBA7977" w14:textId="52D59D08" w:rsidR="00E347A6" w:rsidRDefault="008F687C" w:rsidP="00E347A6">
      <w:pPr>
        <w:rPr>
          <w:rFonts w:eastAsiaTheme="minorEastAsia"/>
          <w:lang w:val="en-US"/>
        </w:rPr>
      </w:pPr>
      <w:r>
        <w:rPr>
          <w:rFonts w:eastAsiaTheme="minorEastAsia"/>
          <w:lang w:val="en-US"/>
        </w:rPr>
        <w:t xml:space="preserve">In the UL, </w:t>
      </w:r>
      <w:r w:rsidR="00E347A6">
        <w:rPr>
          <w:rFonts w:eastAsiaTheme="minorEastAsia"/>
          <w:lang w:val="en-US"/>
        </w:rPr>
        <w:t xml:space="preserve">eNB could indicate in the </w:t>
      </w:r>
      <w:r>
        <w:rPr>
          <w:rFonts w:eastAsiaTheme="minorEastAsia"/>
          <w:lang w:val="en-US"/>
        </w:rPr>
        <w:t xml:space="preserve">dynamic </w:t>
      </w:r>
      <w:r w:rsidR="00E347A6">
        <w:rPr>
          <w:rFonts w:eastAsiaTheme="minorEastAsia"/>
          <w:lang w:val="en-US"/>
        </w:rPr>
        <w:t>grant or configure semi-statically that UE should repeat K times with a given RV pattern. For SR-based scheduling</w:t>
      </w:r>
      <w:r w:rsidR="00347CEF">
        <w:rPr>
          <w:rFonts w:eastAsiaTheme="minorEastAsia"/>
          <w:lang w:val="en-US"/>
        </w:rPr>
        <w:t xml:space="preserve">, </w:t>
      </w:r>
      <w:r w:rsidR="00E347A6">
        <w:rPr>
          <w:rFonts w:eastAsiaTheme="minorEastAsia"/>
          <w:lang w:val="en-US"/>
        </w:rPr>
        <w:t xml:space="preserve">this </w:t>
      </w:r>
      <w:r w:rsidR="008959D5">
        <w:rPr>
          <w:rFonts w:eastAsiaTheme="minorEastAsia"/>
          <w:lang w:val="en-US"/>
        </w:rPr>
        <w:t xml:space="preserve">is </w:t>
      </w:r>
      <w:r w:rsidR="00E347A6">
        <w:rPr>
          <w:rFonts w:eastAsiaTheme="minorEastAsia"/>
          <w:lang w:val="en-US"/>
        </w:rPr>
        <w:t>similar to TTI bundling.</w:t>
      </w:r>
    </w:p>
    <w:p w14:paraId="3BCE77D0" w14:textId="18E2F754" w:rsidR="005B5D13" w:rsidRDefault="005B5D13" w:rsidP="00E347A6">
      <w:pPr>
        <w:rPr>
          <w:rFonts w:eastAsiaTheme="minorEastAsia"/>
          <w:lang w:val="en-US"/>
        </w:rPr>
      </w:pPr>
      <w:r>
        <w:rPr>
          <w:rFonts w:eastAsiaTheme="minorEastAsia"/>
          <w:lang w:val="en-US"/>
        </w:rPr>
        <w:t>For SPS UL</w:t>
      </w:r>
      <w:r w:rsidR="00D559E4">
        <w:rPr>
          <w:rFonts w:eastAsiaTheme="minorEastAsia"/>
          <w:lang w:val="en-US"/>
        </w:rPr>
        <w:t xml:space="preserve">, </w:t>
      </w:r>
      <w:r>
        <w:rPr>
          <w:rFonts w:eastAsiaTheme="minorEastAsia"/>
          <w:lang w:val="en-US"/>
        </w:rPr>
        <w:t>the K-factor could be given in the same way.</w:t>
      </w:r>
      <w:r w:rsidR="008959D5">
        <w:rPr>
          <w:rFonts w:eastAsiaTheme="minorEastAsia"/>
          <w:lang w:val="en-US"/>
        </w:rPr>
        <w:t xml:space="preserve"> H</w:t>
      </w:r>
      <w:r>
        <w:rPr>
          <w:rFonts w:eastAsiaTheme="minorEastAsia"/>
          <w:lang w:val="en-US"/>
        </w:rPr>
        <w:t xml:space="preserve">owever, </w:t>
      </w:r>
      <w:r w:rsidR="008959D5">
        <w:rPr>
          <w:rFonts w:eastAsiaTheme="minorEastAsia"/>
          <w:lang w:val="en-US"/>
        </w:rPr>
        <w:t xml:space="preserve">with skipUplink and possibility to start transmission at any time, several issues need to be sorted-out. </w:t>
      </w:r>
      <w:r w:rsidR="001B680F">
        <w:rPr>
          <w:rFonts w:eastAsiaTheme="minorEastAsia"/>
          <w:lang w:val="en-US"/>
        </w:rPr>
        <w:t>With SkipUplink, t</w:t>
      </w:r>
      <w:r>
        <w:rPr>
          <w:rFonts w:eastAsiaTheme="minorEastAsia"/>
          <w:lang w:val="en-US"/>
        </w:rPr>
        <w:t xml:space="preserve">he RV scheme needs to be set to avoid </w:t>
      </w:r>
      <w:r w:rsidR="008959D5">
        <w:rPr>
          <w:rFonts w:eastAsiaTheme="minorEastAsia"/>
          <w:lang w:val="en-US"/>
        </w:rPr>
        <w:t>the error case that the initial transmission is missed.</w:t>
      </w:r>
      <w:r w:rsidR="006872E3">
        <w:rPr>
          <w:rFonts w:eastAsiaTheme="minorEastAsia"/>
          <w:lang w:val="en-US"/>
        </w:rPr>
        <w:t xml:space="preserve"> In addition, i</w:t>
      </w:r>
      <w:r w:rsidR="008959D5">
        <w:rPr>
          <w:rFonts w:eastAsiaTheme="minorEastAsia"/>
          <w:lang w:val="en-US"/>
        </w:rPr>
        <w:t xml:space="preserve">f we configure a small SPS period and repetitions </w:t>
      </w:r>
      <w:r w:rsidR="006872E3">
        <w:rPr>
          <w:rFonts w:eastAsiaTheme="minorEastAsia"/>
          <w:lang w:val="en-US"/>
        </w:rPr>
        <w:t xml:space="preserve">can </w:t>
      </w:r>
      <w:r w:rsidR="008959D5">
        <w:rPr>
          <w:rFonts w:eastAsiaTheme="minorEastAsia"/>
          <w:lang w:val="en-US"/>
        </w:rPr>
        <w:t>happen on the SPS resources of the next periods, then HARQ process IDs computation needs to be studied</w:t>
      </w:r>
      <w:r w:rsidR="006872E3">
        <w:rPr>
          <w:rFonts w:eastAsiaTheme="minorEastAsia"/>
          <w:lang w:val="en-US"/>
        </w:rPr>
        <w:t>.</w:t>
      </w:r>
    </w:p>
    <w:p w14:paraId="2882FD99" w14:textId="1686D9C2" w:rsidR="005B5D13" w:rsidRDefault="005B5D13" w:rsidP="005B5D13">
      <w:pPr>
        <w:pStyle w:val="Observation"/>
        <w:numPr>
          <w:ilvl w:val="0"/>
          <w:numId w:val="19"/>
        </w:numPr>
        <w:overflowPunct/>
        <w:autoSpaceDE/>
        <w:autoSpaceDN/>
        <w:adjustRightInd/>
        <w:spacing w:after="160" w:line="256" w:lineRule="auto"/>
        <w:ind w:left="1701" w:hanging="1701"/>
        <w:jc w:val="left"/>
        <w:textAlignment w:val="auto"/>
        <w:rPr>
          <w:rStyle w:val="CommentReference"/>
          <w:rFonts w:eastAsiaTheme="minorHAnsi"/>
        </w:rPr>
      </w:pPr>
      <w:bookmarkStart w:id="79" w:name="_Toc493499903"/>
      <w:r>
        <w:rPr>
          <w:rFonts w:eastAsiaTheme="minorEastAsia"/>
        </w:rPr>
        <w:t xml:space="preserve">Repetition in SPS UL requires modification of HARQ PID and RV rules. </w:t>
      </w:r>
      <w:bookmarkEnd w:id="79"/>
    </w:p>
    <w:p w14:paraId="40545572" w14:textId="77777777" w:rsidR="005B5D13" w:rsidRPr="00E347A6" w:rsidRDefault="005B5D13" w:rsidP="00E347A6">
      <w:pPr>
        <w:rPr>
          <w:rFonts w:eastAsiaTheme="minorEastAsia"/>
          <w:lang w:val="en-US"/>
        </w:rPr>
      </w:pPr>
    </w:p>
    <w:p w14:paraId="6A26B909" w14:textId="3D0E5179" w:rsidR="00782FC6" w:rsidRDefault="007D4F4A" w:rsidP="00782FC6">
      <w:pPr>
        <w:pStyle w:val="Heading2"/>
        <w:numPr>
          <w:ilvl w:val="1"/>
          <w:numId w:val="17"/>
        </w:numPr>
        <w:textAlignment w:val="auto"/>
      </w:pPr>
      <w:r>
        <w:t>Reliability mode</w:t>
      </w:r>
      <w:r w:rsidR="00DE231B">
        <w:t xml:space="preserve"> for SPS UL</w:t>
      </w:r>
    </w:p>
    <w:p w14:paraId="2CE2086E" w14:textId="5ADAD2B5" w:rsidR="00A91409" w:rsidRDefault="007D4F4A" w:rsidP="00A91409">
      <w:pPr>
        <w:pStyle w:val="BodyText"/>
      </w:pPr>
      <w:r>
        <w:t xml:space="preserve">As noted in </w:t>
      </w:r>
      <w:r>
        <w:fldChar w:fldCharType="begin"/>
      </w:r>
      <w:r>
        <w:instrText xml:space="preserve"> REF _Ref494189535 \r \h </w:instrText>
      </w:r>
      <w:r>
        <w:fldChar w:fldCharType="separate"/>
      </w:r>
      <w:r>
        <w:t>2.1.2</w:t>
      </w:r>
      <w:r>
        <w:fldChar w:fldCharType="end"/>
      </w:r>
      <w:r>
        <w:t>, i</w:t>
      </w:r>
      <w:r w:rsidR="00DE231B">
        <w:t>n UL SPS</w:t>
      </w:r>
      <w:r w:rsidR="00782FC6">
        <w:t xml:space="preserve"> transmission with S</w:t>
      </w:r>
      <w:r w:rsidR="00DE231B">
        <w:t>kipUplink being configured in LTE, the network (e</w:t>
      </w:r>
      <w:r w:rsidR="00782FC6">
        <w:t>NB) does not expect a transmission in every resource specified by the configured grant, and thus does not react if a t</w:t>
      </w:r>
      <w:r w:rsidR="00DE231B">
        <w:t>ransmission is not detected at e</w:t>
      </w:r>
      <w:r w:rsidR="00782FC6">
        <w:t xml:space="preserve">NB. </w:t>
      </w:r>
      <w:r w:rsidR="00A91409">
        <w:t xml:space="preserve">In order to cover the potential error case that the not-detected transmission attempt was actually a non-decodable transmission, the eNB </w:t>
      </w:r>
      <w:r w:rsidR="0030317A">
        <w:t xml:space="preserve">could </w:t>
      </w:r>
      <w:r w:rsidR="00A91409">
        <w:t xml:space="preserve">react to that </w:t>
      </w:r>
      <w:r w:rsidR="0030317A">
        <w:t>by</w:t>
      </w:r>
      <w:r w:rsidR="00A91409">
        <w:t xml:space="preserve"> sending a NACK on PHICH, and only sends an ACK on PHICH if an UL MAC PDU is correctly received.  In other words, eNB </w:t>
      </w:r>
      <w:r w:rsidR="001F7C2C">
        <w:t xml:space="preserve">could </w:t>
      </w:r>
      <w:r w:rsidR="00A91409">
        <w:t xml:space="preserve">always send NACK on PHICH unless an MAC PDU is successfully received. On the UE side, UE </w:t>
      </w:r>
      <w:r w:rsidR="001F7C2C">
        <w:t xml:space="preserve">would </w:t>
      </w:r>
      <w:r w:rsidR="00305522">
        <w:t>only inspect</w:t>
      </w:r>
      <w:r w:rsidR="00A91409">
        <w:t xml:space="preserve"> PHICH channel after </w:t>
      </w:r>
      <w:r w:rsidR="001F7C2C">
        <w:t>an associated</w:t>
      </w:r>
      <w:r w:rsidR="00A91409">
        <w:t xml:space="preserve"> UL transmission, and acts accordingly. </w:t>
      </w:r>
    </w:p>
    <w:p w14:paraId="73FD5B5D" w14:textId="189A24FA" w:rsidR="00E57C7F" w:rsidRDefault="00E57C7F" w:rsidP="00E57C7F">
      <w:pPr>
        <w:pStyle w:val="BodyText"/>
      </w:pPr>
      <w:r>
        <w:t>This mechanism exploits PHICH channel, but PHICH may not always exist for UL channel introduced in latency-reduction WI. For UL SPS sTTI, it has been agreed that “</w:t>
      </w:r>
      <w:r>
        <w:rPr>
          <w:lang w:val="en-US"/>
        </w:rPr>
        <w:t>PHICH-less asynchronous UL HARQ for sPUSCH is supported” and “</w:t>
      </w:r>
      <w:r w:rsidRPr="006C7F07">
        <w:rPr>
          <w:lang w:val="en-US"/>
        </w:rPr>
        <w:t>RAN2 sees benefits to support SPS for short TTI</w:t>
      </w:r>
      <w:r>
        <w:rPr>
          <w:lang w:val="en-US"/>
        </w:rPr>
        <w:t>”. In addition, RAN1 agree that “</w:t>
      </w:r>
      <w:r>
        <w:rPr>
          <w:rFonts w:eastAsia="MS Mincho"/>
          <w:lang w:eastAsia="ja-JP"/>
        </w:rPr>
        <w:t>PHICH-less asynchr</w:t>
      </w:r>
      <w:r w:rsidR="00305522">
        <w:rPr>
          <w:rFonts w:eastAsia="MS Mincho"/>
          <w:lang w:eastAsia="ja-JP"/>
        </w:rPr>
        <w:t>onous HARQ for UL is used for 1</w:t>
      </w:r>
      <w:r>
        <w:rPr>
          <w:rFonts w:eastAsia="MS Mincho"/>
          <w:lang w:eastAsia="ja-JP"/>
        </w:rPr>
        <w:t xml:space="preserve">ms TTI with shortened processing time”. </w:t>
      </w:r>
    </w:p>
    <w:p w14:paraId="0390ABC6" w14:textId="77777777" w:rsidR="00782FC6" w:rsidRDefault="00782FC6" w:rsidP="00782FC6">
      <w:pPr>
        <w:pStyle w:val="BodyText"/>
        <w:rPr>
          <w:rStyle w:val="CommentReference"/>
        </w:rPr>
      </w:pPr>
      <w:r>
        <w:t xml:space="preserve">One mitigation mechanism is to enforce the transmission of ACK feedback for each UL data transmission. Consequently, if no feedback is received within the configurable feedback time T, then UE considers that the transmission is not successful and should retransmit the packet. </w:t>
      </w:r>
    </w:p>
    <w:p w14:paraId="601A8BBE" w14:textId="77777777" w:rsidR="00782FC6" w:rsidRDefault="00782FC6" w:rsidP="00782FC6">
      <w:pPr>
        <w:pStyle w:val="Proposal"/>
        <w:numPr>
          <w:ilvl w:val="0"/>
          <w:numId w:val="18"/>
        </w:numPr>
        <w:overflowPunct/>
        <w:autoSpaceDE/>
        <w:autoSpaceDN/>
        <w:adjustRightInd/>
        <w:spacing w:after="160" w:line="256" w:lineRule="auto"/>
        <w:jc w:val="left"/>
        <w:textAlignment w:val="auto"/>
        <w:rPr>
          <w:sz w:val="22"/>
          <w:szCs w:val="22"/>
        </w:rPr>
      </w:pPr>
      <w:bookmarkStart w:id="80" w:name="_Toc493499911"/>
      <w:r>
        <w:t>For UL data transmission without grant, a reliability enhancement feedback mode is introduced: UE waits for ACK feedback and assumes NACK if no-feedback is received.</w:t>
      </w:r>
      <w:bookmarkEnd w:id="80"/>
    </w:p>
    <w:p w14:paraId="756FD66E" w14:textId="77777777" w:rsidR="00782FC6" w:rsidRDefault="00782FC6" w:rsidP="00782FC6">
      <w:r>
        <w:lastRenderedPageBreak/>
        <w:t xml:space="preserve">This new mode of SPS feedback may lead to resource inefficiency. For instance, the ACK feedback would need to be sent for most of the UL transmissions, since the BLER is low. And if the ACK is lost, then a redundant retransmission is triggered. However, this may be motivated for packets that requires a very high reliability but in general has a lower traffic rate. </w:t>
      </w:r>
    </w:p>
    <w:p w14:paraId="4E54F3D7" w14:textId="77777777" w:rsidR="00DF71A0" w:rsidRPr="00CE0424" w:rsidRDefault="00DF71A0" w:rsidP="006E062C"/>
    <w:p w14:paraId="2C1B6BD4" w14:textId="77777777" w:rsidR="00C01F33" w:rsidRPr="00CE0424" w:rsidRDefault="00C01F33" w:rsidP="00CE0424">
      <w:pPr>
        <w:pStyle w:val="Heading1"/>
      </w:pPr>
      <w:r w:rsidRPr="00CE0424">
        <w:t>Conclusion</w:t>
      </w:r>
    </w:p>
    <w:p w14:paraId="6D354CCF" w14:textId="5CEC0647" w:rsidR="00CE663B" w:rsidRDefault="008E065E">
      <w:pPr>
        <w:pStyle w:val="TOC1"/>
      </w:pPr>
      <w:r>
        <w:t xml:space="preserve">In section </w:t>
      </w:r>
      <w:r w:rsidR="00CE663B">
        <w:t>2</w:t>
      </w:r>
      <w:r w:rsidRPr="00CE0424">
        <w:t xml:space="preserve"> we </w:t>
      </w:r>
      <w:r>
        <w:t>made the following observations</w:t>
      </w:r>
      <w:r w:rsidRPr="00CE0424">
        <w:t>:</w:t>
      </w:r>
    </w:p>
    <w:p w14:paraId="65B9B585" w14:textId="77777777" w:rsidR="005852CE" w:rsidRDefault="005852CE">
      <w:pPr>
        <w:pStyle w:val="TOC1"/>
      </w:pPr>
      <w:bookmarkStart w:id="81" w:name="_GoBack"/>
      <w:bookmarkEnd w:id="81"/>
    </w:p>
    <w:p w14:paraId="25C9D78A" w14:textId="1688FB3C" w:rsidR="00CE663B" w:rsidRPr="00CE663B" w:rsidRDefault="008E065E" w:rsidP="00CE663B">
      <w:pPr>
        <w:pStyle w:val="Observation"/>
        <w:numPr>
          <w:ilvl w:val="0"/>
          <w:numId w:val="22"/>
        </w:numPr>
        <w:overflowPunct/>
        <w:autoSpaceDE/>
        <w:autoSpaceDN/>
        <w:adjustRightInd/>
        <w:spacing w:after="160" w:line="256" w:lineRule="auto"/>
        <w:jc w:val="left"/>
        <w:textAlignment w:val="auto"/>
        <w:rPr>
          <w:lang w:val="en-US"/>
        </w:rPr>
      </w:pPr>
      <w:r w:rsidRPr="00CE663B">
        <w:rPr>
          <w:b w:val="0"/>
          <w:bCs w:val="0"/>
          <w:noProof/>
          <w:szCs w:val="22"/>
          <w:lang w:val="en-US"/>
        </w:rPr>
        <w:fldChar w:fldCharType="begin"/>
      </w:r>
      <w:r>
        <w:instrText xml:space="preserve"> TOC \f \n \t "Observation;1" </w:instrText>
      </w:r>
      <w:r w:rsidRPr="00CE663B">
        <w:rPr>
          <w:b w:val="0"/>
          <w:bCs w:val="0"/>
          <w:noProof/>
          <w:szCs w:val="22"/>
          <w:lang w:val="en-US"/>
        </w:rPr>
        <w:fldChar w:fldCharType="separate"/>
      </w:r>
      <w:r w:rsidR="00CE663B" w:rsidRPr="00CE663B">
        <w:rPr>
          <w:lang w:val="en-US"/>
        </w:rPr>
        <w:t xml:space="preserve"> </w:t>
      </w:r>
      <w:r w:rsidR="00CE663B" w:rsidRPr="00CE663B">
        <w:rPr>
          <w:lang w:val="en-US"/>
        </w:rPr>
        <w:t>PUCCH/sPUCCH reliability is critical for DL retransmissions.</w:t>
      </w:r>
    </w:p>
    <w:p w14:paraId="56A1DC18" w14:textId="6305408D" w:rsidR="00CE663B" w:rsidRPr="00CE663B" w:rsidRDefault="00CE663B" w:rsidP="00CE663B">
      <w:pPr>
        <w:pStyle w:val="Observation"/>
        <w:numPr>
          <w:ilvl w:val="0"/>
          <w:numId w:val="19"/>
        </w:numPr>
        <w:overflowPunct/>
        <w:autoSpaceDE/>
        <w:autoSpaceDN/>
        <w:adjustRightInd/>
        <w:spacing w:after="160" w:line="256" w:lineRule="auto"/>
        <w:ind w:left="1701" w:hanging="1701"/>
        <w:jc w:val="left"/>
        <w:textAlignment w:val="auto"/>
        <w:rPr>
          <w:lang w:val="en-US"/>
        </w:rPr>
      </w:pPr>
      <w:r w:rsidRPr="00E347A6">
        <w:t xml:space="preserve">SPS-based </w:t>
      </w:r>
      <w:r>
        <w:t>and SR-based UL are both sensitive to detection of initial transmission.</w:t>
      </w:r>
    </w:p>
    <w:p w14:paraId="07B5D6D8" w14:textId="77777777" w:rsidR="00CE663B" w:rsidRPr="00CE663B" w:rsidRDefault="00CE663B" w:rsidP="00CE663B">
      <w:pPr>
        <w:pStyle w:val="Observation"/>
        <w:numPr>
          <w:ilvl w:val="0"/>
          <w:numId w:val="19"/>
        </w:numPr>
        <w:rPr>
          <w:lang w:val="en-US"/>
        </w:rPr>
      </w:pPr>
      <w:r>
        <w:t>Transmit diversity for PUCCH can be used to improve reliability.</w:t>
      </w:r>
    </w:p>
    <w:p w14:paraId="2821E890" w14:textId="77777777" w:rsidR="00CE663B" w:rsidRPr="00AB73AF" w:rsidRDefault="00CE663B" w:rsidP="00CE663B">
      <w:pPr>
        <w:pStyle w:val="Observation"/>
        <w:numPr>
          <w:ilvl w:val="0"/>
          <w:numId w:val="19"/>
        </w:numPr>
        <w:overflowPunct/>
        <w:autoSpaceDE/>
        <w:autoSpaceDN/>
        <w:adjustRightInd/>
        <w:spacing w:after="160" w:line="256" w:lineRule="auto"/>
        <w:ind w:left="1701" w:hanging="1701"/>
        <w:jc w:val="left"/>
        <w:textAlignment w:val="auto"/>
        <w:rPr>
          <w:rFonts w:eastAsiaTheme="minorHAnsi"/>
          <w:sz w:val="16"/>
          <w:szCs w:val="16"/>
        </w:rPr>
      </w:pPr>
      <w:r>
        <w:rPr>
          <w:rFonts w:eastAsiaTheme="minorEastAsia"/>
        </w:rPr>
        <w:t>DL HARQ-less retransmission is supported already.</w:t>
      </w:r>
    </w:p>
    <w:p w14:paraId="38716F2D" w14:textId="77777777" w:rsidR="00CE663B" w:rsidRDefault="00CE663B" w:rsidP="00CE663B">
      <w:pPr>
        <w:pStyle w:val="Observation"/>
        <w:numPr>
          <w:ilvl w:val="0"/>
          <w:numId w:val="19"/>
        </w:numPr>
        <w:overflowPunct/>
        <w:autoSpaceDE/>
        <w:autoSpaceDN/>
        <w:adjustRightInd/>
        <w:spacing w:after="160" w:line="256" w:lineRule="auto"/>
        <w:ind w:left="1701" w:hanging="1701"/>
        <w:jc w:val="left"/>
        <w:textAlignment w:val="auto"/>
        <w:rPr>
          <w:rStyle w:val="CommentReference"/>
          <w:rFonts w:eastAsiaTheme="minorHAnsi"/>
        </w:rPr>
      </w:pPr>
      <w:r>
        <w:rPr>
          <w:rFonts w:eastAsiaTheme="minorEastAsia"/>
        </w:rPr>
        <w:t xml:space="preserve">Repetition in SPS UL requires modification of HARQ PID and RV rules. </w:t>
      </w:r>
    </w:p>
    <w:p w14:paraId="68ED5EBF" w14:textId="77777777" w:rsidR="008E065E" w:rsidRDefault="008E065E" w:rsidP="008E065E">
      <w:pPr>
        <w:pStyle w:val="BodyText"/>
        <w:rPr>
          <w:b/>
          <w:bCs/>
        </w:rPr>
      </w:pPr>
      <w:r>
        <w:rPr>
          <w:b/>
          <w:bCs/>
        </w:rPr>
        <w:fldChar w:fldCharType="end"/>
      </w:r>
    </w:p>
    <w:p w14:paraId="7B713CBD" w14:textId="3B14ED3D" w:rsidR="00CE663B" w:rsidRDefault="008E065E">
      <w:pPr>
        <w:pStyle w:val="TOC1"/>
      </w:pPr>
      <w:r w:rsidRPr="00CE0424">
        <w:t xml:space="preserve">Based on the discussion in section </w:t>
      </w:r>
      <w:r w:rsidR="00CE663B">
        <w:t>2</w:t>
      </w:r>
      <w:r w:rsidRPr="00CE0424">
        <w:t xml:space="preserve"> we propose the following:</w:t>
      </w:r>
    </w:p>
    <w:p w14:paraId="2CDE082A" w14:textId="77777777" w:rsidR="005852CE" w:rsidRDefault="005852CE">
      <w:pPr>
        <w:pStyle w:val="TOC1"/>
      </w:pPr>
    </w:p>
    <w:p w14:paraId="5190CE94" w14:textId="3557890E" w:rsidR="00CE663B" w:rsidRPr="00CE663B" w:rsidRDefault="008E065E" w:rsidP="00CE663B">
      <w:pPr>
        <w:pStyle w:val="Proposal"/>
        <w:numPr>
          <w:ilvl w:val="0"/>
          <w:numId w:val="23"/>
        </w:numPr>
        <w:overflowPunct/>
        <w:autoSpaceDE/>
        <w:autoSpaceDN/>
        <w:adjustRightInd/>
        <w:spacing w:after="160" w:line="256" w:lineRule="auto"/>
        <w:jc w:val="left"/>
        <w:textAlignment w:val="auto"/>
        <w:rPr>
          <w:lang w:val="en-US"/>
        </w:rPr>
      </w:pPr>
      <w:r w:rsidRPr="00CE663B">
        <w:rPr>
          <w:b w:val="0"/>
          <w:bCs w:val="0"/>
          <w:noProof/>
          <w:szCs w:val="22"/>
          <w:lang w:val="en-US"/>
        </w:rPr>
        <w:fldChar w:fldCharType="begin"/>
      </w:r>
      <w:r>
        <w:instrText xml:space="preserve"> TOC \f \n \p " " \t "Proposal;1" </w:instrText>
      </w:r>
      <w:r w:rsidRPr="00CE663B">
        <w:rPr>
          <w:b w:val="0"/>
          <w:bCs w:val="0"/>
          <w:noProof/>
          <w:szCs w:val="22"/>
          <w:lang w:val="en-US"/>
        </w:rPr>
        <w:fldChar w:fldCharType="separate"/>
      </w:r>
      <w:r w:rsidR="00CE663B" w:rsidRPr="00CE663B">
        <w:t xml:space="preserve"> </w:t>
      </w:r>
      <w:r w:rsidR="00CE663B">
        <w:t>UE with 4 TX antennas and 4 RX antennas can be considered baseline for a UE supporting low latency and high reliability.</w:t>
      </w:r>
    </w:p>
    <w:p w14:paraId="62478E34" w14:textId="77777777" w:rsidR="00CE663B" w:rsidRPr="001C4867" w:rsidRDefault="00CE663B" w:rsidP="00CE663B">
      <w:pPr>
        <w:pStyle w:val="Proposal"/>
        <w:numPr>
          <w:ilvl w:val="0"/>
          <w:numId w:val="18"/>
        </w:numPr>
        <w:overflowPunct/>
        <w:autoSpaceDE/>
        <w:autoSpaceDN/>
        <w:adjustRightInd/>
        <w:spacing w:after="160" w:line="256" w:lineRule="auto"/>
        <w:jc w:val="left"/>
        <w:textAlignment w:val="auto"/>
        <w:rPr>
          <w:lang w:val="en-US"/>
        </w:rPr>
      </w:pPr>
      <w:r>
        <w:t>Consider compact DCI size and higher aggregation levels for reliable DL control.</w:t>
      </w:r>
    </w:p>
    <w:p w14:paraId="36C1BF53" w14:textId="77777777" w:rsidR="00CE663B" w:rsidRPr="00E419BC" w:rsidRDefault="00CE663B" w:rsidP="00CE663B">
      <w:pPr>
        <w:pStyle w:val="Proposal"/>
        <w:numPr>
          <w:ilvl w:val="0"/>
          <w:numId w:val="18"/>
        </w:numPr>
        <w:overflowPunct/>
        <w:autoSpaceDE/>
        <w:autoSpaceDN/>
        <w:adjustRightInd/>
        <w:spacing w:after="160" w:line="256" w:lineRule="auto"/>
        <w:jc w:val="left"/>
        <w:textAlignment w:val="auto"/>
        <w:rPr>
          <w:lang w:val="en-US"/>
        </w:rPr>
      </w:pPr>
      <w:r>
        <w:t>Low payload PUCCH with repetition and frequency hopping should be the baseline for reliability operation.</w:t>
      </w:r>
    </w:p>
    <w:p w14:paraId="2F06E5DC" w14:textId="77777777" w:rsidR="00CE663B" w:rsidRPr="00E419BC" w:rsidRDefault="00CE663B" w:rsidP="00CE663B">
      <w:pPr>
        <w:pStyle w:val="Proposal"/>
        <w:numPr>
          <w:ilvl w:val="0"/>
          <w:numId w:val="18"/>
        </w:numPr>
        <w:overflowPunct/>
        <w:autoSpaceDE/>
        <w:autoSpaceDN/>
        <w:adjustRightInd/>
        <w:spacing w:after="160" w:line="256" w:lineRule="auto"/>
        <w:jc w:val="left"/>
        <w:textAlignment w:val="auto"/>
        <w:rPr>
          <w:lang w:val="en-US"/>
        </w:rPr>
      </w:pPr>
      <w:r>
        <w:t>SR repetition should be considered.</w:t>
      </w:r>
    </w:p>
    <w:p w14:paraId="7A31C004" w14:textId="0DA13E1F" w:rsidR="00CE663B" w:rsidRPr="00CE663B" w:rsidRDefault="00CE663B" w:rsidP="00CE663B">
      <w:pPr>
        <w:pStyle w:val="Proposal"/>
        <w:numPr>
          <w:ilvl w:val="0"/>
          <w:numId w:val="18"/>
        </w:numPr>
        <w:overflowPunct/>
        <w:autoSpaceDE/>
        <w:autoSpaceDN/>
        <w:adjustRightInd/>
        <w:spacing w:after="160" w:line="256" w:lineRule="auto"/>
        <w:jc w:val="left"/>
        <w:textAlignment w:val="auto"/>
        <w:rPr>
          <w:lang w:val="en-US"/>
        </w:rPr>
      </w:pPr>
      <w:r>
        <w:rPr>
          <w:rFonts w:cs="Arial"/>
          <w:iCs/>
          <w:lang w:val="en-US"/>
        </w:rPr>
        <w:t>A TBS scaling factor should be configurable for URLLC services.</w:t>
      </w:r>
    </w:p>
    <w:p w14:paraId="6CE65794" w14:textId="77777777" w:rsidR="00CE663B" w:rsidRPr="00CE663B" w:rsidRDefault="00CE663B" w:rsidP="00CE663B">
      <w:pPr>
        <w:pStyle w:val="Proposal"/>
        <w:numPr>
          <w:ilvl w:val="0"/>
          <w:numId w:val="18"/>
        </w:numPr>
        <w:overflowPunct/>
        <w:autoSpaceDE/>
        <w:autoSpaceDN/>
        <w:adjustRightInd/>
        <w:spacing w:after="160" w:line="256" w:lineRule="auto"/>
        <w:jc w:val="left"/>
        <w:textAlignment w:val="auto"/>
        <w:rPr>
          <w:sz w:val="22"/>
          <w:szCs w:val="22"/>
        </w:rPr>
      </w:pPr>
      <w:r>
        <w:t>sTTI bundling is supported.</w:t>
      </w:r>
    </w:p>
    <w:p w14:paraId="342EB8E4" w14:textId="77777777" w:rsidR="00CE663B" w:rsidRDefault="00CE663B" w:rsidP="00CE663B">
      <w:pPr>
        <w:pStyle w:val="Proposal"/>
        <w:numPr>
          <w:ilvl w:val="0"/>
          <w:numId w:val="18"/>
        </w:numPr>
        <w:overflowPunct/>
        <w:autoSpaceDE/>
        <w:autoSpaceDN/>
        <w:adjustRightInd/>
        <w:spacing w:after="160" w:line="256" w:lineRule="auto"/>
        <w:jc w:val="left"/>
        <w:textAlignment w:val="auto"/>
        <w:rPr>
          <w:sz w:val="22"/>
          <w:szCs w:val="22"/>
        </w:rPr>
      </w:pPr>
      <w:r>
        <w:t>For UL data transmission without grant, a reliability enhancement feedback mode is introduced: UE waits for ACK feedback and assumes NACK if no-feedback is received.</w:t>
      </w:r>
    </w:p>
    <w:p w14:paraId="27472D02" w14:textId="10E41632" w:rsidR="00311702" w:rsidRPr="00CE0424" w:rsidRDefault="008E065E" w:rsidP="00AB0BC8">
      <w:r>
        <w:rPr>
          <w:b/>
          <w:bCs/>
        </w:rPr>
        <w:fldChar w:fldCharType="end"/>
      </w:r>
    </w:p>
    <w:p w14:paraId="70967945" w14:textId="77777777" w:rsidR="00C01F33" w:rsidRPr="00CE0424" w:rsidRDefault="00C01F33" w:rsidP="006E062C"/>
    <w:p w14:paraId="57B73A36" w14:textId="77777777" w:rsidR="00F507D1" w:rsidRPr="00CE0424" w:rsidRDefault="00F507D1" w:rsidP="00CE0424">
      <w:pPr>
        <w:pStyle w:val="Heading1"/>
      </w:pPr>
      <w:bookmarkStart w:id="82" w:name="_In-sequence_SDU_delivery"/>
      <w:bookmarkEnd w:id="82"/>
      <w:r w:rsidRPr="00CE0424">
        <w:t>References</w:t>
      </w:r>
    </w:p>
    <w:bookmarkStart w:id="83" w:name="_Ref174151459"/>
    <w:bookmarkStart w:id="84" w:name="_Ref189809556"/>
    <w:bookmarkStart w:id="85" w:name="_Ref484439563"/>
    <w:p w14:paraId="6EF5CF0A" w14:textId="0B151CE9" w:rsidR="003A7EF3" w:rsidRPr="00CE0424" w:rsidRDefault="00213045" w:rsidP="002D3821">
      <w:pPr>
        <w:pStyle w:val="Reference"/>
      </w:pPr>
      <w:r>
        <w:fldChar w:fldCharType="begin"/>
      </w:r>
      <w:r>
        <w:instrText xml:space="preserve"> HYPERLINK "ftp://www.3gpp.org/tsg_ran/TSG_RAN//TSGR_75/Docs/RP-170796.zip" </w:instrText>
      </w:r>
      <w:r>
        <w:fldChar w:fldCharType="separate"/>
      </w:r>
      <w:r w:rsidR="000E4517">
        <w:rPr>
          <w:rStyle w:val="Hyperlink"/>
        </w:rPr>
        <w:t>RP-170796</w:t>
      </w:r>
      <w:r>
        <w:rPr>
          <w:rStyle w:val="Hyperlink"/>
        </w:rPr>
        <w:fldChar w:fldCharType="end"/>
      </w:r>
      <w:r w:rsidR="000E4517">
        <w:t>, New Work Item on Ultra</w:t>
      </w:r>
      <w:r w:rsidR="000E4517" w:rsidRPr="00966C66">
        <w:t xml:space="preserve"> Reliable Low Latency Communication for LTE</w:t>
      </w:r>
      <w:r w:rsidR="000E4517">
        <w:t xml:space="preserve">, source </w:t>
      </w:r>
      <w:r w:rsidR="000E4517" w:rsidRPr="00DF3CE1">
        <w:t>Ericsson, Nokia, Alcatel-Lucent Shanghai Bell</w:t>
      </w:r>
      <w:r w:rsidR="000E4517">
        <w:t>. RAN#76</w:t>
      </w:r>
      <w:bookmarkStart w:id="86" w:name="_Ref493499913"/>
      <w:bookmarkEnd w:id="83"/>
      <w:bookmarkEnd w:id="84"/>
      <w:bookmarkEnd w:id="85"/>
      <w:bookmarkEnd w:id="86"/>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2DF80" w14:textId="77777777" w:rsidR="00213045" w:rsidRDefault="00213045">
      <w:r>
        <w:separator/>
      </w:r>
    </w:p>
  </w:endnote>
  <w:endnote w:type="continuationSeparator" w:id="0">
    <w:p w14:paraId="1EF77392" w14:textId="77777777" w:rsidR="00213045" w:rsidRDefault="00213045">
      <w:r>
        <w:continuationSeparator/>
      </w:r>
    </w:p>
  </w:endnote>
  <w:endnote w:type="continuationNotice" w:id="1">
    <w:p w14:paraId="6928A279" w14:textId="77777777" w:rsidR="00213045" w:rsidRDefault="00213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7698B" w14:textId="77777777" w:rsidR="00213045" w:rsidRDefault="00213045">
      <w:r>
        <w:separator/>
      </w:r>
    </w:p>
  </w:footnote>
  <w:footnote w:type="continuationSeparator" w:id="0">
    <w:p w14:paraId="43ED39FA" w14:textId="77777777" w:rsidR="00213045" w:rsidRDefault="00213045">
      <w:r>
        <w:continuationSeparator/>
      </w:r>
    </w:p>
  </w:footnote>
  <w:footnote w:type="continuationNotice" w:id="1">
    <w:p w14:paraId="764777AC" w14:textId="77777777" w:rsidR="00213045" w:rsidRDefault="002130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3A03DD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476694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83ED5A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81B7D"/>
    <w:multiLevelType w:val="hybridMultilevel"/>
    <w:tmpl w:val="90A0D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6E84EF2"/>
    <w:lvl w:ilvl="0" w:tplc="098226A4">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B4B29B28"/>
    <w:lvl w:ilvl="0" w:tplc="E5CC68B0">
      <w:start w:val="1"/>
      <w:numFmt w:val="decimal"/>
      <w:pStyle w:val="Observation"/>
      <w:lvlText w:val="Observation %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3"/>
  </w:num>
  <w:num w:numId="22">
    <w:abstractNumId w:val="15"/>
    <w:lvlOverride w:ilvl="0">
      <w:startOverride w:val="1"/>
    </w:lvlOverride>
  </w:num>
  <w:num w:numId="23">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3A00"/>
    <w:rsid w:val="00015D15"/>
    <w:rsid w:val="0002531D"/>
    <w:rsid w:val="0002564D"/>
    <w:rsid w:val="00025ECA"/>
    <w:rsid w:val="000325B8"/>
    <w:rsid w:val="00034C15"/>
    <w:rsid w:val="00036BA1"/>
    <w:rsid w:val="000406C8"/>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6D89"/>
    <w:rsid w:val="0009009F"/>
    <w:rsid w:val="00091557"/>
    <w:rsid w:val="000924C1"/>
    <w:rsid w:val="000924F0"/>
    <w:rsid w:val="00093474"/>
    <w:rsid w:val="0009510F"/>
    <w:rsid w:val="000A1B7B"/>
    <w:rsid w:val="000A4D8A"/>
    <w:rsid w:val="000A56F2"/>
    <w:rsid w:val="000B2719"/>
    <w:rsid w:val="000B3A8F"/>
    <w:rsid w:val="000B4AB9"/>
    <w:rsid w:val="000B58C3"/>
    <w:rsid w:val="000B61E9"/>
    <w:rsid w:val="000C165A"/>
    <w:rsid w:val="000C2E19"/>
    <w:rsid w:val="000D0D07"/>
    <w:rsid w:val="000D4797"/>
    <w:rsid w:val="000E0527"/>
    <w:rsid w:val="000E1E92"/>
    <w:rsid w:val="000E1FAB"/>
    <w:rsid w:val="000E4517"/>
    <w:rsid w:val="000E4BA1"/>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90AC1"/>
    <w:rsid w:val="0019341A"/>
    <w:rsid w:val="001963AF"/>
    <w:rsid w:val="00197DF9"/>
    <w:rsid w:val="001A1987"/>
    <w:rsid w:val="001A2564"/>
    <w:rsid w:val="001A6173"/>
    <w:rsid w:val="001A6CBA"/>
    <w:rsid w:val="001B0D97"/>
    <w:rsid w:val="001B5A5D"/>
    <w:rsid w:val="001B680F"/>
    <w:rsid w:val="001C1CE5"/>
    <w:rsid w:val="001C3D2A"/>
    <w:rsid w:val="001C4867"/>
    <w:rsid w:val="001C6025"/>
    <w:rsid w:val="001D51BA"/>
    <w:rsid w:val="001D6342"/>
    <w:rsid w:val="001D6D53"/>
    <w:rsid w:val="001E58E2"/>
    <w:rsid w:val="001E7AED"/>
    <w:rsid w:val="001F1230"/>
    <w:rsid w:val="001F3916"/>
    <w:rsid w:val="001F54C5"/>
    <w:rsid w:val="001F662C"/>
    <w:rsid w:val="001F7074"/>
    <w:rsid w:val="001F7C2C"/>
    <w:rsid w:val="00200490"/>
    <w:rsid w:val="00201F3A"/>
    <w:rsid w:val="00203F96"/>
    <w:rsid w:val="002069B2"/>
    <w:rsid w:val="00207FA3"/>
    <w:rsid w:val="00213045"/>
    <w:rsid w:val="00214DA8"/>
    <w:rsid w:val="00215423"/>
    <w:rsid w:val="002158FA"/>
    <w:rsid w:val="0021608F"/>
    <w:rsid w:val="00220600"/>
    <w:rsid w:val="00221C70"/>
    <w:rsid w:val="002224DB"/>
    <w:rsid w:val="00223FCB"/>
    <w:rsid w:val="002252C3"/>
    <w:rsid w:val="00225C54"/>
    <w:rsid w:val="00230765"/>
    <w:rsid w:val="002319E4"/>
    <w:rsid w:val="00235632"/>
    <w:rsid w:val="00235872"/>
    <w:rsid w:val="002413A8"/>
    <w:rsid w:val="00241559"/>
    <w:rsid w:val="002435B3"/>
    <w:rsid w:val="002458EB"/>
    <w:rsid w:val="002500C8"/>
    <w:rsid w:val="00257543"/>
    <w:rsid w:val="002617E7"/>
    <w:rsid w:val="00262E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668"/>
    <w:rsid w:val="002B64D7"/>
    <w:rsid w:val="002C41E6"/>
    <w:rsid w:val="002C5BA4"/>
    <w:rsid w:val="002D071A"/>
    <w:rsid w:val="002D34B2"/>
    <w:rsid w:val="002D3821"/>
    <w:rsid w:val="002D7637"/>
    <w:rsid w:val="002E17F2"/>
    <w:rsid w:val="002E7CAE"/>
    <w:rsid w:val="002F2771"/>
    <w:rsid w:val="002F37A9"/>
    <w:rsid w:val="00300AB5"/>
    <w:rsid w:val="00301CE6"/>
    <w:rsid w:val="0030256B"/>
    <w:rsid w:val="0030317A"/>
    <w:rsid w:val="0030501F"/>
    <w:rsid w:val="00305522"/>
    <w:rsid w:val="00307BA1"/>
    <w:rsid w:val="00311702"/>
    <w:rsid w:val="00311E82"/>
    <w:rsid w:val="00313FD6"/>
    <w:rsid w:val="003143BD"/>
    <w:rsid w:val="0031779A"/>
    <w:rsid w:val="003203ED"/>
    <w:rsid w:val="00322C9F"/>
    <w:rsid w:val="00324D23"/>
    <w:rsid w:val="00331751"/>
    <w:rsid w:val="0033257C"/>
    <w:rsid w:val="00334579"/>
    <w:rsid w:val="00335858"/>
    <w:rsid w:val="00336BDA"/>
    <w:rsid w:val="00342BD7"/>
    <w:rsid w:val="00343A07"/>
    <w:rsid w:val="00346DB5"/>
    <w:rsid w:val="003477B1"/>
    <w:rsid w:val="00347CEF"/>
    <w:rsid w:val="00357380"/>
    <w:rsid w:val="003602D9"/>
    <w:rsid w:val="003604CE"/>
    <w:rsid w:val="00370E47"/>
    <w:rsid w:val="003731E7"/>
    <w:rsid w:val="003742AC"/>
    <w:rsid w:val="00377CE1"/>
    <w:rsid w:val="0038314D"/>
    <w:rsid w:val="00385BF0"/>
    <w:rsid w:val="003939FF"/>
    <w:rsid w:val="003A2223"/>
    <w:rsid w:val="003A2A0F"/>
    <w:rsid w:val="003A45A1"/>
    <w:rsid w:val="003A5B0A"/>
    <w:rsid w:val="003A6BAC"/>
    <w:rsid w:val="003A7EF3"/>
    <w:rsid w:val="003B159C"/>
    <w:rsid w:val="003B369F"/>
    <w:rsid w:val="003B36A3"/>
    <w:rsid w:val="003B75FD"/>
    <w:rsid w:val="003B7FE5"/>
    <w:rsid w:val="003C11C8"/>
    <w:rsid w:val="003C2702"/>
    <w:rsid w:val="003C7806"/>
    <w:rsid w:val="003D109F"/>
    <w:rsid w:val="003D2478"/>
    <w:rsid w:val="003D3C45"/>
    <w:rsid w:val="003D5B1F"/>
    <w:rsid w:val="003E15FA"/>
    <w:rsid w:val="003E55E4"/>
    <w:rsid w:val="003E74E3"/>
    <w:rsid w:val="003F05C7"/>
    <w:rsid w:val="003F21FE"/>
    <w:rsid w:val="003F2CD4"/>
    <w:rsid w:val="003F6BBE"/>
    <w:rsid w:val="004000E8"/>
    <w:rsid w:val="00400777"/>
    <w:rsid w:val="00400985"/>
    <w:rsid w:val="00402E2B"/>
    <w:rsid w:val="00403A37"/>
    <w:rsid w:val="0040512B"/>
    <w:rsid w:val="0040533A"/>
    <w:rsid w:val="00405CA5"/>
    <w:rsid w:val="00407CD3"/>
    <w:rsid w:val="00410134"/>
    <w:rsid w:val="00410B72"/>
    <w:rsid w:val="00410F18"/>
    <w:rsid w:val="0041263E"/>
    <w:rsid w:val="00413AAC"/>
    <w:rsid w:val="00421105"/>
    <w:rsid w:val="004242F4"/>
    <w:rsid w:val="00427248"/>
    <w:rsid w:val="00437447"/>
    <w:rsid w:val="00441A92"/>
    <w:rsid w:val="004446EC"/>
    <w:rsid w:val="00444F56"/>
    <w:rsid w:val="00446488"/>
    <w:rsid w:val="004517AA"/>
    <w:rsid w:val="00452CAC"/>
    <w:rsid w:val="00457565"/>
    <w:rsid w:val="00457B71"/>
    <w:rsid w:val="00461299"/>
    <w:rsid w:val="004669E2"/>
    <w:rsid w:val="00470C31"/>
    <w:rsid w:val="004734D0"/>
    <w:rsid w:val="0047556B"/>
    <w:rsid w:val="00477768"/>
    <w:rsid w:val="00481545"/>
    <w:rsid w:val="00492BC5"/>
    <w:rsid w:val="004964F1"/>
    <w:rsid w:val="004A0DC9"/>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66A28"/>
    <w:rsid w:val="00572505"/>
    <w:rsid w:val="00582809"/>
    <w:rsid w:val="005852CE"/>
    <w:rsid w:val="0058798C"/>
    <w:rsid w:val="005900FA"/>
    <w:rsid w:val="005935A4"/>
    <w:rsid w:val="005948C2"/>
    <w:rsid w:val="00594C96"/>
    <w:rsid w:val="00595DCA"/>
    <w:rsid w:val="0059779B"/>
    <w:rsid w:val="005A209A"/>
    <w:rsid w:val="005A662D"/>
    <w:rsid w:val="005B35D7"/>
    <w:rsid w:val="005B392A"/>
    <w:rsid w:val="005B3AA3"/>
    <w:rsid w:val="005B5D13"/>
    <w:rsid w:val="005B6F83"/>
    <w:rsid w:val="005C74FB"/>
    <w:rsid w:val="005D1602"/>
    <w:rsid w:val="005E385F"/>
    <w:rsid w:val="005E5B81"/>
    <w:rsid w:val="005F2CB1"/>
    <w:rsid w:val="005F3025"/>
    <w:rsid w:val="005F618C"/>
    <w:rsid w:val="005F70BD"/>
    <w:rsid w:val="0060283C"/>
    <w:rsid w:val="00604F14"/>
    <w:rsid w:val="0060510A"/>
    <w:rsid w:val="00611B83"/>
    <w:rsid w:val="00613257"/>
    <w:rsid w:val="00617B36"/>
    <w:rsid w:val="00620A71"/>
    <w:rsid w:val="00620D80"/>
    <w:rsid w:val="006212A9"/>
    <w:rsid w:val="006234A6"/>
    <w:rsid w:val="00630001"/>
    <w:rsid w:val="006311B3"/>
    <w:rsid w:val="0063284C"/>
    <w:rsid w:val="00636398"/>
    <w:rsid w:val="006368D3"/>
    <w:rsid w:val="006377EC"/>
    <w:rsid w:val="006414DB"/>
    <w:rsid w:val="0064151F"/>
    <w:rsid w:val="00641533"/>
    <w:rsid w:val="0064208D"/>
    <w:rsid w:val="006426BA"/>
    <w:rsid w:val="00643475"/>
    <w:rsid w:val="0064396A"/>
    <w:rsid w:val="0064624E"/>
    <w:rsid w:val="00650AB9"/>
    <w:rsid w:val="00655733"/>
    <w:rsid w:val="00655ACD"/>
    <w:rsid w:val="00656A92"/>
    <w:rsid w:val="00656DDE"/>
    <w:rsid w:val="0066011D"/>
    <w:rsid w:val="006607C0"/>
    <w:rsid w:val="006613A6"/>
    <w:rsid w:val="006627A2"/>
    <w:rsid w:val="006634E6"/>
    <w:rsid w:val="006639D0"/>
    <w:rsid w:val="006655EE"/>
    <w:rsid w:val="00667EE7"/>
    <w:rsid w:val="00670922"/>
    <w:rsid w:val="00670BE1"/>
    <w:rsid w:val="0067218F"/>
    <w:rsid w:val="006741F2"/>
    <w:rsid w:val="00674CC3"/>
    <w:rsid w:val="00675C72"/>
    <w:rsid w:val="006771F9"/>
    <w:rsid w:val="006776D7"/>
    <w:rsid w:val="00681003"/>
    <w:rsid w:val="006817C9"/>
    <w:rsid w:val="00683ECE"/>
    <w:rsid w:val="006872E3"/>
    <w:rsid w:val="00695FC2"/>
    <w:rsid w:val="00696949"/>
    <w:rsid w:val="00697052"/>
    <w:rsid w:val="006A46FB"/>
    <w:rsid w:val="006A5E28"/>
    <w:rsid w:val="006A697B"/>
    <w:rsid w:val="006A7AFF"/>
    <w:rsid w:val="006B1816"/>
    <w:rsid w:val="006B2099"/>
    <w:rsid w:val="006B50CF"/>
    <w:rsid w:val="006B5B0F"/>
    <w:rsid w:val="006C03B8"/>
    <w:rsid w:val="006C0692"/>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B0B"/>
    <w:rsid w:val="00712287"/>
    <w:rsid w:val="00712772"/>
    <w:rsid w:val="007148D3"/>
    <w:rsid w:val="00715B9A"/>
    <w:rsid w:val="0072554B"/>
    <w:rsid w:val="00726EA6"/>
    <w:rsid w:val="00727208"/>
    <w:rsid w:val="00727680"/>
    <w:rsid w:val="00732461"/>
    <w:rsid w:val="007348B1"/>
    <w:rsid w:val="007362A6"/>
    <w:rsid w:val="00736D7D"/>
    <w:rsid w:val="00736DC7"/>
    <w:rsid w:val="00740E58"/>
    <w:rsid w:val="007445A0"/>
    <w:rsid w:val="0074524B"/>
    <w:rsid w:val="00747D8B"/>
    <w:rsid w:val="00751228"/>
    <w:rsid w:val="007571E1"/>
    <w:rsid w:val="007604B2"/>
    <w:rsid w:val="00765281"/>
    <w:rsid w:val="00766BAD"/>
    <w:rsid w:val="007730BD"/>
    <w:rsid w:val="007755F2"/>
    <w:rsid w:val="00776971"/>
    <w:rsid w:val="0078177E"/>
    <w:rsid w:val="00782FC6"/>
    <w:rsid w:val="0078304C"/>
    <w:rsid w:val="00783673"/>
    <w:rsid w:val="00785490"/>
    <w:rsid w:val="00786BF5"/>
    <w:rsid w:val="00791C6E"/>
    <w:rsid w:val="007925EA"/>
    <w:rsid w:val="00793CD8"/>
    <w:rsid w:val="007957A2"/>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F4A"/>
    <w:rsid w:val="007D5901"/>
    <w:rsid w:val="007D7526"/>
    <w:rsid w:val="007E4610"/>
    <w:rsid w:val="007E4715"/>
    <w:rsid w:val="007E505B"/>
    <w:rsid w:val="007E7091"/>
    <w:rsid w:val="00803FAE"/>
    <w:rsid w:val="0080605F"/>
    <w:rsid w:val="00807786"/>
    <w:rsid w:val="00811FCB"/>
    <w:rsid w:val="008158D6"/>
    <w:rsid w:val="00817196"/>
    <w:rsid w:val="008230F1"/>
    <w:rsid w:val="008235DB"/>
    <w:rsid w:val="00824AB4"/>
    <w:rsid w:val="00825C42"/>
    <w:rsid w:val="00825D25"/>
    <w:rsid w:val="00827D6F"/>
    <w:rsid w:val="008376AC"/>
    <w:rsid w:val="008444E8"/>
    <w:rsid w:val="00844D77"/>
    <w:rsid w:val="00844E80"/>
    <w:rsid w:val="00846FE7"/>
    <w:rsid w:val="00856911"/>
    <w:rsid w:val="008677FD"/>
    <w:rsid w:val="008706D4"/>
    <w:rsid w:val="00870F8A"/>
    <w:rsid w:val="008719A4"/>
    <w:rsid w:val="00871D23"/>
    <w:rsid w:val="00874312"/>
    <w:rsid w:val="0087437C"/>
    <w:rsid w:val="00875950"/>
    <w:rsid w:val="00875CD7"/>
    <w:rsid w:val="00876B4D"/>
    <w:rsid w:val="00877F18"/>
    <w:rsid w:val="00894A88"/>
    <w:rsid w:val="00894C92"/>
    <w:rsid w:val="00895386"/>
    <w:rsid w:val="008959D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96E"/>
    <w:rsid w:val="008E7C06"/>
    <w:rsid w:val="008F1EAB"/>
    <w:rsid w:val="008F33DC"/>
    <w:rsid w:val="008F477F"/>
    <w:rsid w:val="008F687C"/>
    <w:rsid w:val="00902350"/>
    <w:rsid w:val="0090336B"/>
    <w:rsid w:val="009053AA"/>
    <w:rsid w:val="00906939"/>
    <w:rsid w:val="00910B7D"/>
    <w:rsid w:val="00911DFB"/>
    <w:rsid w:val="009139D9"/>
    <w:rsid w:val="00914AD8"/>
    <w:rsid w:val="00916079"/>
    <w:rsid w:val="00917CE9"/>
    <w:rsid w:val="00920BF2"/>
    <w:rsid w:val="00922010"/>
    <w:rsid w:val="009310B4"/>
    <w:rsid w:val="00931BD9"/>
    <w:rsid w:val="009368F3"/>
    <w:rsid w:val="00941636"/>
    <w:rsid w:val="00943742"/>
    <w:rsid w:val="00945C05"/>
    <w:rsid w:val="00946945"/>
    <w:rsid w:val="00947713"/>
    <w:rsid w:val="00950DE7"/>
    <w:rsid w:val="00953920"/>
    <w:rsid w:val="00953D47"/>
    <w:rsid w:val="00954D69"/>
    <w:rsid w:val="0095681E"/>
    <w:rsid w:val="009572D4"/>
    <w:rsid w:val="00961921"/>
    <w:rsid w:val="0096430A"/>
    <w:rsid w:val="00964667"/>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0A3F"/>
    <w:rsid w:val="009C25FE"/>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117D"/>
    <w:rsid w:val="00A3448A"/>
    <w:rsid w:val="00A36297"/>
    <w:rsid w:val="00A41E2B"/>
    <w:rsid w:val="00A45B74"/>
    <w:rsid w:val="00A52E1D"/>
    <w:rsid w:val="00A61499"/>
    <w:rsid w:val="00A62A77"/>
    <w:rsid w:val="00A63483"/>
    <w:rsid w:val="00A657D7"/>
    <w:rsid w:val="00A660AC"/>
    <w:rsid w:val="00A67E6C"/>
    <w:rsid w:val="00A703D4"/>
    <w:rsid w:val="00A71B99"/>
    <w:rsid w:val="00A739D0"/>
    <w:rsid w:val="00A761D4"/>
    <w:rsid w:val="00A770B4"/>
    <w:rsid w:val="00A77EC4"/>
    <w:rsid w:val="00A91409"/>
    <w:rsid w:val="00A92879"/>
    <w:rsid w:val="00A9442A"/>
    <w:rsid w:val="00AA016F"/>
    <w:rsid w:val="00AA1880"/>
    <w:rsid w:val="00AA1ED6"/>
    <w:rsid w:val="00AA51D6"/>
    <w:rsid w:val="00AB0BC8"/>
    <w:rsid w:val="00AB11CA"/>
    <w:rsid w:val="00AB14D9"/>
    <w:rsid w:val="00AB4AB8"/>
    <w:rsid w:val="00AB655E"/>
    <w:rsid w:val="00AB73AF"/>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D09"/>
    <w:rsid w:val="00B20E28"/>
    <w:rsid w:val="00B2763F"/>
    <w:rsid w:val="00B27AAC"/>
    <w:rsid w:val="00B304F3"/>
    <w:rsid w:val="00B30929"/>
    <w:rsid w:val="00B372AA"/>
    <w:rsid w:val="00B40445"/>
    <w:rsid w:val="00B40BEF"/>
    <w:rsid w:val="00B41888"/>
    <w:rsid w:val="00B45A52"/>
    <w:rsid w:val="00B46175"/>
    <w:rsid w:val="00B53752"/>
    <w:rsid w:val="00B6188F"/>
    <w:rsid w:val="00B664C7"/>
    <w:rsid w:val="00B739F6"/>
    <w:rsid w:val="00B81A6C"/>
    <w:rsid w:val="00B85DE5"/>
    <w:rsid w:val="00B905B7"/>
    <w:rsid w:val="00B90F73"/>
    <w:rsid w:val="00B93B59"/>
    <w:rsid w:val="00B9406A"/>
    <w:rsid w:val="00B97752"/>
    <w:rsid w:val="00BA0000"/>
    <w:rsid w:val="00BA2280"/>
    <w:rsid w:val="00BA2A08"/>
    <w:rsid w:val="00BA42AF"/>
    <w:rsid w:val="00BA56D2"/>
    <w:rsid w:val="00BA76E0"/>
    <w:rsid w:val="00BB22AB"/>
    <w:rsid w:val="00BB2A25"/>
    <w:rsid w:val="00BB51E9"/>
    <w:rsid w:val="00BC0FDC"/>
    <w:rsid w:val="00BC3053"/>
    <w:rsid w:val="00BC4D2E"/>
    <w:rsid w:val="00BD3353"/>
    <w:rsid w:val="00BD48AC"/>
    <w:rsid w:val="00BD5F1A"/>
    <w:rsid w:val="00BE1234"/>
    <w:rsid w:val="00BE2FA6"/>
    <w:rsid w:val="00BE333F"/>
    <w:rsid w:val="00BE7406"/>
    <w:rsid w:val="00BE7603"/>
    <w:rsid w:val="00BF103A"/>
    <w:rsid w:val="00BF3279"/>
    <w:rsid w:val="00BF3E08"/>
    <w:rsid w:val="00BF74C7"/>
    <w:rsid w:val="00C015F1"/>
    <w:rsid w:val="00C01F33"/>
    <w:rsid w:val="00C02CC6"/>
    <w:rsid w:val="00C040F7"/>
    <w:rsid w:val="00C041B0"/>
    <w:rsid w:val="00C044AB"/>
    <w:rsid w:val="00C05706"/>
    <w:rsid w:val="00C07377"/>
    <w:rsid w:val="00C07BB2"/>
    <w:rsid w:val="00C10478"/>
    <w:rsid w:val="00C12107"/>
    <w:rsid w:val="00C14D4B"/>
    <w:rsid w:val="00C154BB"/>
    <w:rsid w:val="00C279B5"/>
    <w:rsid w:val="00C27C45"/>
    <w:rsid w:val="00C3719D"/>
    <w:rsid w:val="00C41B56"/>
    <w:rsid w:val="00C54995"/>
    <w:rsid w:val="00C54D41"/>
    <w:rsid w:val="00C60783"/>
    <w:rsid w:val="00C64672"/>
    <w:rsid w:val="00C66341"/>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B7981"/>
    <w:rsid w:val="00CC040E"/>
    <w:rsid w:val="00CC111F"/>
    <w:rsid w:val="00CC2011"/>
    <w:rsid w:val="00CC3EA0"/>
    <w:rsid w:val="00CC7B45"/>
    <w:rsid w:val="00CD1188"/>
    <w:rsid w:val="00CD1508"/>
    <w:rsid w:val="00CD2ED1"/>
    <w:rsid w:val="00CD337B"/>
    <w:rsid w:val="00CE0424"/>
    <w:rsid w:val="00CE5B57"/>
    <w:rsid w:val="00CE663B"/>
    <w:rsid w:val="00CE7561"/>
    <w:rsid w:val="00CF0AE1"/>
    <w:rsid w:val="00CF1354"/>
    <w:rsid w:val="00CF3B1F"/>
    <w:rsid w:val="00CF3BF6"/>
    <w:rsid w:val="00CF625B"/>
    <w:rsid w:val="00CF687E"/>
    <w:rsid w:val="00D0349B"/>
    <w:rsid w:val="00D10249"/>
    <w:rsid w:val="00D115C3"/>
    <w:rsid w:val="00D11897"/>
    <w:rsid w:val="00D13135"/>
    <w:rsid w:val="00D13E4E"/>
    <w:rsid w:val="00D22E87"/>
    <w:rsid w:val="00D239A7"/>
    <w:rsid w:val="00D23F47"/>
    <w:rsid w:val="00D36E71"/>
    <w:rsid w:val="00D37D87"/>
    <w:rsid w:val="00D40B33"/>
    <w:rsid w:val="00D4318F"/>
    <w:rsid w:val="00D438BF"/>
    <w:rsid w:val="00D440F8"/>
    <w:rsid w:val="00D45A3D"/>
    <w:rsid w:val="00D50E2D"/>
    <w:rsid w:val="00D50F97"/>
    <w:rsid w:val="00D546FF"/>
    <w:rsid w:val="00D559E4"/>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6724"/>
    <w:rsid w:val="00DC2D36"/>
    <w:rsid w:val="00DC53EF"/>
    <w:rsid w:val="00DE231B"/>
    <w:rsid w:val="00DE5608"/>
    <w:rsid w:val="00DE58D0"/>
    <w:rsid w:val="00DE654F"/>
    <w:rsid w:val="00DF0B6E"/>
    <w:rsid w:val="00DF15E0"/>
    <w:rsid w:val="00DF37A0"/>
    <w:rsid w:val="00DF71A0"/>
    <w:rsid w:val="00E110E7"/>
    <w:rsid w:val="00E11B20"/>
    <w:rsid w:val="00E14D9A"/>
    <w:rsid w:val="00E17A80"/>
    <w:rsid w:val="00E17FA2"/>
    <w:rsid w:val="00E22330"/>
    <w:rsid w:val="00E30B5A"/>
    <w:rsid w:val="00E3123D"/>
    <w:rsid w:val="00E31461"/>
    <w:rsid w:val="00E31D43"/>
    <w:rsid w:val="00E32608"/>
    <w:rsid w:val="00E34188"/>
    <w:rsid w:val="00E347A6"/>
    <w:rsid w:val="00E34B6E"/>
    <w:rsid w:val="00E35559"/>
    <w:rsid w:val="00E3723A"/>
    <w:rsid w:val="00E37860"/>
    <w:rsid w:val="00E419BC"/>
    <w:rsid w:val="00E446F1"/>
    <w:rsid w:val="00E46886"/>
    <w:rsid w:val="00E47AEF"/>
    <w:rsid w:val="00E53B75"/>
    <w:rsid w:val="00E54E3B"/>
    <w:rsid w:val="00E57565"/>
    <w:rsid w:val="00E57C7F"/>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0E14"/>
    <w:rsid w:val="00EB4EA2"/>
    <w:rsid w:val="00EC27C6"/>
    <w:rsid w:val="00EC4207"/>
    <w:rsid w:val="00EC5653"/>
    <w:rsid w:val="00EC6586"/>
    <w:rsid w:val="00EC71CE"/>
    <w:rsid w:val="00ED1006"/>
    <w:rsid w:val="00EF18FE"/>
    <w:rsid w:val="00EF5787"/>
    <w:rsid w:val="00EF60D0"/>
    <w:rsid w:val="00EF6D03"/>
    <w:rsid w:val="00F0528D"/>
    <w:rsid w:val="00F06C67"/>
    <w:rsid w:val="00F06DFD"/>
    <w:rsid w:val="00F071D1"/>
    <w:rsid w:val="00F07533"/>
    <w:rsid w:val="00F10629"/>
    <w:rsid w:val="00F154BD"/>
    <w:rsid w:val="00F15FA5"/>
    <w:rsid w:val="00F209B7"/>
    <w:rsid w:val="00F2376F"/>
    <w:rsid w:val="00F243D8"/>
    <w:rsid w:val="00F259ED"/>
    <w:rsid w:val="00F30828"/>
    <w:rsid w:val="00F313D6"/>
    <w:rsid w:val="00F40F0C"/>
    <w:rsid w:val="00F4766C"/>
    <w:rsid w:val="00F507D1"/>
    <w:rsid w:val="00F519CE"/>
    <w:rsid w:val="00F51ADA"/>
    <w:rsid w:val="00F60506"/>
    <w:rsid w:val="00F607C5"/>
    <w:rsid w:val="00F60DEA"/>
    <w:rsid w:val="00F6302A"/>
    <w:rsid w:val="00F64C2B"/>
    <w:rsid w:val="00F651BE"/>
    <w:rsid w:val="00F67F53"/>
    <w:rsid w:val="00F703BE"/>
    <w:rsid w:val="00F7162D"/>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FE5"/>
    <w:rsid w:val="00FA2BB3"/>
    <w:rsid w:val="00FB4C80"/>
    <w:rsid w:val="00FB4F28"/>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Revision">
    <w:name w:val="Revision"/>
    <w:hidden/>
    <w:uiPriority w:val="99"/>
    <w:semiHidden/>
    <w:rsid w:val="00F259ED"/>
    <w:rPr>
      <w:rFonts w:ascii="Arial" w:hAnsi="Arial"/>
      <w:lang w:val="en-GB" w:eastAsia="zh-CN"/>
    </w:rPr>
  </w:style>
  <w:style w:type="character" w:styleId="PlaceholderText">
    <w:name w:val="Placeholder Text"/>
    <w:basedOn w:val="DefaultParagraphFont"/>
    <w:uiPriority w:val="99"/>
    <w:semiHidden/>
    <w:rsid w:val="00B20E28"/>
    <w:rPr>
      <w:color w:val="808080"/>
    </w:rPr>
  </w:style>
  <w:style w:type="character" w:customStyle="1" w:styleId="CommentTextChar">
    <w:name w:val="Comment Text Char"/>
    <w:basedOn w:val="DefaultParagraphFont"/>
    <w:link w:val="CommentText"/>
    <w:semiHidden/>
    <w:rsid w:val="00E57C7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73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5NUHHDQN7SK2-1-183031</_dlc_DocId>
    <TaxCatchAll xmlns="08b2df90-05d3-4030-90d4-c9feeb4a1cd9">
      <Value>2</Value>
      <Value>1</Value>
    </TaxCatchAll>
    <_dlc_DocIdUrl xmlns="08b2df90-05d3-4030-90d4-c9feeb4a1cd9">
      <Url>https://ericoll.internal.ericsson.com/sites/star/_layouts/DocIdRedir.aspx?ID=5NUHHDQN7SK2-1-183031</Url>
      <Description>5NUHHDQN7SK2-1-183031</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Props1.xml><?xml version="1.0" encoding="utf-8"?>
<ds:datastoreItem xmlns:ds="http://schemas.openxmlformats.org/officeDocument/2006/customXml" ds:itemID="{1095B134-CE80-4E7B-979E-7991B378E5EB}"/>
</file>

<file path=customXml/itemProps2.xml><?xml version="1.0" encoding="utf-8"?>
<ds:datastoreItem xmlns:ds="http://schemas.openxmlformats.org/officeDocument/2006/customXml" ds:itemID="{18183C8E-0D75-4DBF-8983-A6699AFF1D84}"/>
</file>

<file path=customXml/itemProps3.xml><?xml version="1.0" encoding="utf-8"?>
<ds:datastoreItem xmlns:ds="http://schemas.openxmlformats.org/officeDocument/2006/customXml" ds:itemID="{7128B7F6-004C-40AD-85D6-F94854F72D4B}"/>
</file>

<file path=customXml/itemProps4.xml><?xml version="1.0" encoding="utf-8"?>
<ds:datastoreItem xmlns:ds="http://schemas.openxmlformats.org/officeDocument/2006/customXml" ds:itemID="{2EB837B1-CC49-40D0-9B87-96E34B96FF12}"/>
</file>

<file path=customXml/itemProps5.xml><?xml version="1.0" encoding="utf-8"?>
<ds:datastoreItem xmlns:ds="http://schemas.openxmlformats.org/officeDocument/2006/customXml" ds:itemID="{1BEEA03A-CC0A-43AC-AFB3-D4A6E92D99A1}"/>
</file>

<file path=customXml/itemProps6.xml><?xml version="1.0" encoding="utf-8"?>
<ds:datastoreItem xmlns:ds="http://schemas.openxmlformats.org/officeDocument/2006/customXml" ds:itemID="{F2A02391-11D2-48F0-BCDA-58D773972E1B}"/>
</file>

<file path=docProps/app.xml><?xml version="1.0" encoding="utf-8"?>
<Properties xmlns="http://schemas.openxmlformats.org/officeDocument/2006/extended-properties" xmlns:vt="http://schemas.openxmlformats.org/officeDocument/2006/docPropsVTypes">
  <Template>Normal.dotm</Template>
  <TotalTime>0</TotalTime>
  <Pages>4</Pages>
  <Words>1796</Words>
  <Characters>9522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2017-09-29T15:18:00Z</dcterms:created>
  <dcterms:modified xsi:type="dcterms:W3CDTF">2017-09-29T15:21:00Z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43055b36-5574-4387-9ddc-7ae5a9c103b3</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